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3"/>
        <w:jc w:val="center"/>
        <w:rPr>
          <w:rFonts w:hint="eastAsia"/>
          <w:b/>
          <w:bCs/>
          <w:sz w:val="32"/>
          <w:szCs w:val="32"/>
        </w:rPr>
      </w:pPr>
      <w:r>
        <w:rPr>
          <w:rFonts w:hint="eastAsia"/>
          <w:b/>
          <w:bCs/>
          <w:sz w:val="32"/>
          <w:szCs w:val="32"/>
        </w:rPr>
        <w:t>数字化X射线摄影系统维保服务</w:t>
      </w:r>
    </w:p>
    <w:p>
      <w:pPr>
        <w:pStyle w:val="23"/>
        <w:jc w:val="center"/>
        <w:rPr>
          <w:rFonts w:hint="default" w:eastAsiaTheme="minorEastAsia"/>
          <w:b/>
          <w:bCs/>
          <w:sz w:val="32"/>
          <w:szCs w:val="32"/>
          <w:lang w:val="en-US" w:eastAsia="zh-CN"/>
        </w:rPr>
      </w:pPr>
      <w:r>
        <w:rPr>
          <w:rFonts w:hint="eastAsia"/>
          <w:b/>
          <w:bCs/>
          <w:sz w:val="32"/>
          <w:szCs w:val="32"/>
          <w:lang w:val="en-US" w:eastAsia="zh-CN"/>
        </w:rPr>
        <w:t>维保需求</w:t>
      </w:r>
    </w:p>
    <w:p>
      <w:pPr>
        <w:pStyle w:val="5"/>
      </w:pPr>
      <w:bookmarkStart w:id="0" w:name="一定期维护需求"/>
      <w:r>
        <w:t>一、设备基本信息</w:t>
      </w:r>
    </w:p>
    <w:p>
      <w:pPr>
        <w:pStyle w:val="24"/>
        <w:keepNext w:val="0"/>
        <w:keepLines w:val="0"/>
        <w:pageBreakBefore w:val="0"/>
        <w:widowControl/>
        <w:numPr>
          <w:ilvl w:val="0"/>
          <w:numId w:val="1"/>
        </w:numPr>
        <w:kinsoku/>
        <w:wordWrap/>
        <w:overflowPunct/>
        <w:topLinePunct w:val="0"/>
        <w:autoSpaceDE/>
        <w:autoSpaceDN/>
        <w:bidi w:val="0"/>
        <w:adjustRightInd/>
        <w:snapToGrid/>
        <w:spacing w:line="360" w:lineRule="auto"/>
        <w:ind w:hanging="482"/>
        <w:textAlignment w:val="auto"/>
      </w:pPr>
      <w:r>
        <w:rPr>
          <w:b/>
          <w:bCs/>
        </w:rPr>
        <w:t>设备名称</w:t>
      </w:r>
      <w:r>
        <w:t>：</w:t>
      </w:r>
      <w:r>
        <w:rPr>
          <w:rFonts w:hint="eastAsia"/>
          <w:lang w:val="en-US" w:eastAsia="zh-CN"/>
        </w:rPr>
        <w:t>数字化医用X射线摄影系统(GE 1台;飞利浦2台）</w:t>
      </w:r>
    </w:p>
    <w:p>
      <w:pPr>
        <w:pStyle w:val="24"/>
        <w:keepNext w:val="0"/>
        <w:keepLines w:val="0"/>
        <w:pageBreakBefore w:val="0"/>
        <w:widowControl/>
        <w:numPr>
          <w:ilvl w:val="0"/>
          <w:numId w:val="1"/>
        </w:numPr>
        <w:kinsoku/>
        <w:wordWrap/>
        <w:overflowPunct/>
        <w:topLinePunct w:val="0"/>
        <w:autoSpaceDE/>
        <w:autoSpaceDN/>
        <w:bidi w:val="0"/>
        <w:adjustRightInd/>
        <w:snapToGrid/>
        <w:spacing w:line="360" w:lineRule="auto"/>
        <w:ind w:hanging="482"/>
        <w:textAlignment w:val="auto"/>
      </w:pPr>
      <w:r>
        <w:rPr>
          <w:b/>
          <w:bCs/>
        </w:rPr>
        <w:t>设备型号</w:t>
      </w:r>
      <w:r>
        <w:t>：</w:t>
      </w:r>
      <w:r>
        <w:rPr>
          <w:rFonts w:hint="eastAsia"/>
          <w:lang w:val="en-US" w:eastAsia="zh-CN"/>
        </w:rPr>
        <w:t>GE Definium6000；</w:t>
      </w:r>
    </w:p>
    <w:p>
      <w:pPr>
        <w:pStyle w:val="24"/>
        <w:keepNext w:val="0"/>
        <w:keepLines w:val="0"/>
        <w:pageBreakBefore w:val="0"/>
        <w:widowControl/>
        <w:numPr>
          <w:ilvl w:val="0"/>
          <w:numId w:val="1"/>
        </w:numPr>
        <w:kinsoku/>
        <w:wordWrap/>
        <w:overflowPunct/>
        <w:topLinePunct w:val="0"/>
        <w:autoSpaceDE/>
        <w:autoSpaceDN/>
        <w:bidi w:val="0"/>
        <w:adjustRightInd/>
        <w:snapToGrid/>
        <w:spacing w:line="360" w:lineRule="auto"/>
        <w:ind w:hanging="482"/>
        <w:textAlignment w:val="auto"/>
      </w:pPr>
      <w:r>
        <w:rPr>
          <w:rFonts w:hint="eastAsia"/>
          <w:lang w:val="en-US" w:eastAsia="zh-CN"/>
        </w:rPr>
        <w:t xml:space="preserve">                飞利浦DigitalDiagnost，DigitalDiagnost C50 65</w:t>
      </w:r>
    </w:p>
    <w:p>
      <w:pPr>
        <w:pStyle w:val="24"/>
        <w:keepNext w:val="0"/>
        <w:keepLines w:val="0"/>
        <w:pageBreakBefore w:val="0"/>
        <w:widowControl/>
        <w:numPr>
          <w:ilvl w:val="0"/>
          <w:numId w:val="1"/>
        </w:numPr>
        <w:kinsoku/>
        <w:wordWrap/>
        <w:overflowPunct/>
        <w:topLinePunct w:val="0"/>
        <w:autoSpaceDE/>
        <w:autoSpaceDN/>
        <w:bidi w:val="0"/>
        <w:adjustRightInd/>
        <w:snapToGrid/>
        <w:spacing w:line="360" w:lineRule="auto"/>
        <w:ind w:hanging="482"/>
        <w:textAlignment w:val="auto"/>
      </w:pPr>
      <w:r>
        <w:rPr>
          <w:b/>
          <w:bCs/>
        </w:rPr>
        <w:t>设备购置时间</w:t>
      </w:r>
      <w:r>
        <w:t>：</w:t>
      </w:r>
      <w:r>
        <w:rPr>
          <w:rFonts w:hint="eastAsia"/>
          <w:lang w:val="en-US" w:eastAsia="zh-CN"/>
        </w:rPr>
        <w:t>GE 2015</w:t>
      </w:r>
      <w:r>
        <w:t>年</w:t>
      </w:r>
      <w:r>
        <w:rPr>
          <w:rFonts w:hint="eastAsia"/>
          <w:lang w:val="en-US" w:eastAsia="zh-CN"/>
        </w:rPr>
        <w:t>,飞利浦 2020年</w:t>
      </w:r>
    </w:p>
    <w:p>
      <w:pPr>
        <w:pStyle w:val="5"/>
      </w:pPr>
      <w:bookmarkStart w:id="1" w:name="二维保服务总体目标"/>
      <w:r>
        <w:t>二、维保服务总体目标</w:t>
      </w:r>
      <w:bookmarkStart w:id="7" w:name="_GoBack"/>
      <w:bookmarkEnd w:id="7"/>
    </w:p>
    <w:p>
      <w:pPr>
        <w:pStyle w:val="23"/>
        <w:keepNext w:val="0"/>
        <w:keepLines w:val="0"/>
        <w:pageBreakBefore w:val="0"/>
        <w:widowControl/>
        <w:kinsoku/>
        <w:wordWrap/>
        <w:overflowPunct/>
        <w:topLinePunct w:val="0"/>
        <w:autoSpaceDE/>
        <w:autoSpaceDN/>
        <w:bidi w:val="0"/>
        <w:adjustRightInd/>
        <w:snapToGrid/>
        <w:spacing w:line="600" w:lineRule="exact"/>
        <w:ind w:firstLine="480" w:firstLineChars="200"/>
        <w:textAlignment w:val="auto"/>
      </w:pPr>
      <w:r>
        <w:t>确保</w:t>
      </w:r>
      <w:r>
        <w:rPr>
          <w:rFonts w:hint="eastAsia"/>
          <w:lang w:val="en-US" w:eastAsia="zh-CN"/>
        </w:rPr>
        <w:t>3台数字化医用X射线摄影系统</w:t>
      </w:r>
      <w:r>
        <w:t>在合同期内始终保持良好的运行状态，达到或接近原厂规定的性能指标，保障临床诊断工作的顺利开展，同时尽量减少设备停机时间，提高设备的开机率和利用率。</w:t>
      </w:r>
    </w:p>
    <w:bookmarkEnd w:id="1"/>
    <w:p>
      <w:pPr>
        <w:pStyle w:val="5"/>
      </w:pPr>
    </w:p>
    <w:p>
      <w:pPr>
        <w:pStyle w:val="5"/>
      </w:pPr>
      <w:r>
        <w:t>一、定期维护需求</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1.</w:t>
      </w:r>
      <w:r>
        <w:rPr>
          <w:b/>
          <w:bCs/>
        </w:rPr>
        <w:t>设备清洁</w:t>
      </w:r>
    </w:p>
    <w:p>
      <w:pPr>
        <w:pStyle w:val="24"/>
        <w:numPr>
          <w:ilvl w:val="1"/>
          <w:numId w:val="1"/>
        </w:numPr>
      </w:pPr>
      <w:r>
        <w:t>对DR设备的外观进行清洁，去除灰尘、污渍等，保持整洁，防止灰尘进入设备内部影响散热或电气性能。</w:t>
      </w:r>
    </w:p>
    <w:p>
      <w:pPr>
        <w:pStyle w:val="24"/>
        <w:numPr>
          <w:ilvl w:val="1"/>
          <w:numId w:val="1"/>
        </w:numPr>
      </w:pPr>
      <w:r>
        <w:t>定期清理探测器表面，因为探测器对于成像质量至关重要，任何微小的污渍或杂质都可能导致图像伪影。例如使用专业的清洁工具和试剂，按照规定的擦拭方向和力度进行操作。</w:t>
      </w:r>
    </w:p>
    <w:p>
      <w:pPr>
        <w:pStyle w:val="24"/>
        <w:numPr>
          <w:ilvl w:val="1"/>
          <w:numId w:val="1"/>
        </w:numPr>
      </w:pPr>
      <w:r>
        <w:t>清洁X射线管组件及相关散热装置，确保其正常散热，延长X射线管的使用寿命。</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2.</w:t>
      </w:r>
      <w:r>
        <w:rPr>
          <w:b/>
          <w:bCs/>
        </w:rPr>
        <w:t>性能校准</w:t>
      </w:r>
    </w:p>
    <w:p>
      <w:pPr>
        <w:pStyle w:val="24"/>
        <w:numPr>
          <w:ilvl w:val="1"/>
          <w:numId w:val="1"/>
        </w:numPr>
      </w:pPr>
      <w:r>
        <w:t>定期对DR设备的图像质量进行校准，包括但不限于空间分辨率、对比度、密度等参数的校准。这需要使用专业的校准模体和校准软件，确保设备始终能输出准确、清晰的影像。</w:t>
      </w:r>
    </w:p>
    <w:p>
      <w:pPr>
        <w:pStyle w:val="24"/>
        <w:numPr>
          <w:ilvl w:val="1"/>
          <w:numId w:val="1"/>
        </w:numPr>
      </w:pPr>
      <w:r>
        <w:t>对X射线的剂量输出进行校准，保证每次拍摄所使用的X射线剂量准确且符合安全和诊断要求，避免因剂量不准确导致的图像质量问题或对患者潜在的辐射风险增加。</w:t>
      </w:r>
    </w:p>
    <w:p>
      <w:pPr>
        <w:pStyle w:val="24"/>
        <w:numPr>
          <w:ilvl w:val="1"/>
          <w:numId w:val="1"/>
        </w:numPr>
      </w:pPr>
      <w:r>
        <w:t>校准探测器的增益和偏移等参数，以补偿探测器在长期使用过程中可能出现的性能漂移。</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3.</w:t>
      </w:r>
      <w:r>
        <w:rPr>
          <w:b/>
          <w:bCs/>
        </w:rPr>
        <w:t>机械部件检查与维护</w:t>
      </w:r>
    </w:p>
    <w:p>
      <w:pPr>
        <w:pStyle w:val="24"/>
        <w:numPr>
          <w:ilvl w:val="1"/>
          <w:numId w:val="1"/>
        </w:numPr>
      </w:pPr>
      <w:r>
        <w:t>检查设备的机械运动部件，如球管的旋转臂、检查床的升降和移动机构等，确保其运动顺畅，没有卡顿、异响等异常情况。对运动部件进行必要的润滑保养，更换磨损严重的零部件，如滑轮、导轨等。</w:t>
      </w:r>
    </w:p>
    <w:p>
      <w:pPr>
        <w:pStyle w:val="24"/>
        <w:numPr>
          <w:ilvl w:val="1"/>
          <w:numId w:val="1"/>
        </w:numPr>
      </w:pPr>
      <w:r>
        <w:t>检查设备的固定支架和底座，确保其稳固，没有松动或变形，以保障设备在使用过程中的安全性和稳定性。</w:t>
      </w:r>
    </w:p>
    <w:bookmarkEnd w:id="0"/>
    <w:p>
      <w:pPr>
        <w:pStyle w:val="5"/>
      </w:pPr>
      <w:bookmarkStart w:id="2" w:name="二故障维修需求"/>
      <w:r>
        <w:t>二、故障维修需求</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1.</w:t>
      </w:r>
      <w:r>
        <w:rPr>
          <w:b/>
          <w:bCs/>
        </w:rPr>
        <w:t>硬件故障维修</w:t>
      </w:r>
    </w:p>
    <w:p>
      <w:pPr>
        <w:pStyle w:val="24"/>
        <w:numPr>
          <w:ilvl w:val="1"/>
          <w:numId w:val="1"/>
        </w:numPr>
      </w:pPr>
      <w:r>
        <w:t>当X射线管出现故障，如灯丝烧断、真空度下降等情况时，能够及时进行更换或修复。要求维保人员具备专业的X射线管维修技能和相关资质，同时要有充足的备用X射线管或能快速调配到合适的配件。</w:t>
      </w:r>
    </w:p>
    <w:p>
      <w:pPr>
        <w:pStyle w:val="24"/>
        <w:numPr>
          <w:ilvl w:val="1"/>
          <w:numId w:val="1"/>
        </w:numPr>
      </w:pPr>
      <w:r>
        <w:t>探测器发生故障，如出现坏点、信号传输异常等问题，需要迅速诊断并采取有效的维修措施，可能涉及到探测器电路板的检修、更换探测器模块等复杂操作，并且要确保维修后探测器的性能恢复到正常水平。</w:t>
      </w:r>
    </w:p>
    <w:p>
      <w:pPr>
        <w:pStyle w:val="24"/>
        <w:numPr>
          <w:ilvl w:val="1"/>
          <w:numId w:val="1"/>
        </w:numPr>
      </w:pPr>
      <w:r>
        <w:t>对于设备中的其他关键硬件部件，如高压发生器、图像采集卡、控制电脑等出现故障时，能快速定位故障点，进行针对性的维修或更换配件，尽量缩短设备停机时间。</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2.</w:t>
      </w:r>
      <w:r>
        <w:rPr>
          <w:b/>
          <w:bCs/>
        </w:rPr>
        <w:t>软件故障维修</w:t>
      </w:r>
    </w:p>
    <w:p>
      <w:pPr>
        <w:pStyle w:val="24"/>
        <w:numPr>
          <w:ilvl w:val="1"/>
          <w:numId w:val="1"/>
        </w:numPr>
      </w:pPr>
      <w:r>
        <w:t>当DR设备的操作软件出现故障，如死机、报错、图像无法正常采集或处理等情况时，维保人员要能够熟练运用软件调试工具和相关技术，对软件进行重新安装、升级、打补丁等操作，修复软件故障，恢复设备的正常运行。</w:t>
      </w:r>
    </w:p>
    <w:p>
      <w:pPr>
        <w:pStyle w:val="24"/>
        <w:numPr>
          <w:ilvl w:val="1"/>
          <w:numId w:val="1"/>
        </w:numPr>
      </w:pPr>
      <w:r>
        <w:t>处理软件与硬件之间的兼容性问题，有时设备升级硬件后可能会出现软件不适应的情况，或者在新安装的操作系统环境下软件运行出现异常，这就需要维保人员能够进行有效的配置调整和故障排除。</w:t>
      </w:r>
    </w:p>
    <w:bookmarkEnd w:id="2"/>
    <w:p>
      <w:pPr>
        <w:pStyle w:val="5"/>
      </w:pPr>
      <w:bookmarkStart w:id="3" w:name="三应急响应需求"/>
      <w:r>
        <w:t>三、应急响应需求</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1.</w:t>
      </w:r>
      <w:r>
        <w:rPr>
          <w:b/>
          <w:bCs/>
        </w:rPr>
        <w:t>快速响应时间</w:t>
      </w:r>
    </w:p>
    <w:p>
      <w:pPr>
        <w:pStyle w:val="24"/>
        <w:numPr>
          <w:ilvl w:val="1"/>
          <w:numId w:val="1"/>
        </w:numPr>
      </w:pPr>
      <w:r>
        <w:t>要求维保服务提供商在接到故障报修后，能在短时间内（如1 - 2小时内）做出响应，通过电话、远程协助等方式初步了解故障情况，并给出初步的处理建议。</w:t>
      </w:r>
    </w:p>
    <w:p>
      <w:pPr>
        <w:pStyle w:val="24"/>
        <w:numPr>
          <w:ilvl w:val="1"/>
          <w:numId w:val="1"/>
        </w:numPr>
      </w:pPr>
      <w:r>
        <w:t>对于严重影响设备使用的紧急故障，维保人员应能在规定的短时间内（如4 - 8小时）赶到现场进行维修处理，以减少设备停机对医疗诊断业务的影响。</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2.</w:t>
      </w:r>
      <w:r>
        <w:rPr>
          <w:b/>
          <w:bCs/>
        </w:rPr>
        <w:t>远程协助能力</w:t>
      </w:r>
    </w:p>
    <w:p>
      <w:pPr>
        <w:pStyle w:val="24"/>
        <w:numPr>
          <w:ilvl w:val="1"/>
          <w:numId w:val="1"/>
        </w:numPr>
      </w:pPr>
      <w:r>
        <w:t>维保服务提供商应具备远程协助的技术手段，当设备出现一些简单故障或可通过软件调整解决的问题时，能够通过远程连接设备，在授权的情况下对设备进行远程诊断、调试和维修操作，提高故障处理效率。</w:t>
      </w:r>
    </w:p>
    <w:bookmarkEnd w:id="3"/>
    <w:p>
      <w:pPr>
        <w:pStyle w:val="5"/>
      </w:pPr>
      <w:bookmarkStart w:id="4" w:name="四培训需求"/>
      <w:r>
        <w:t>四、培训需求</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1.</w:t>
      </w:r>
      <w:r>
        <w:rPr>
          <w:b/>
          <w:bCs/>
        </w:rPr>
        <w:t>操作人员培训</w:t>
      </w:r>
    </w:p>
    <w:p>
      <w:pPr>
        <w:pStyle w:val="24"/>
        <w:numPr>
          <w:ilvl w:val="1"/>
          <w:numId w:val="1"/>
        </w:numPr>
      </w:pPr>
      <w:r>
        <w:t>为医院或使用单位的DR设备操作人员提供定期的操作培训，包括设备的基本操作流程、不同检查模式的应用、如何根据患者情况调整拍摄参数等内容，确保操作人员能够熟练、正确地使用设备，减少因操作不当导致的设备故障和图像质量问题。</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2.</w:t>
      </w:r>
      <w:r>
        <w:rPr>
          <w:b/>
          <w:bCs/>
        </w:rPr>
        <w:t>维护人员培训</w:t>
      </w:r>
    </w:p>
    <w:p>
      <w:pPr>
        <w:pStyle w:val="24"/>
        <w:numPr>
          <w:ilvl w:val="1"/>
          <w:numId w:val="1"/>
        </w:numPr>
      </w:pPr>
      <w:r>
        <w:t>针对使用单位内部的维护人员（如果有），提供设备维护方面的培训，让他们了解DR设备的基本结构、常见故障的诊断方法、简单维护操作（如清洁、日常检查等），以便在维保人员未到场时能进行一些初步的维护工作，延长设备的正常使用时间。</w:t>
      </w:r>
    </w:p>
    <w:bookmarkEnd w:id="4"/>
    <w:p>
      <w:pPr>
        <w:pStyle w:val="5"/>
      </w:pPr>
      <w:bookmarkStart w:id="5" w:name="五配件供应需求"/>
      <w:r>
        <w:t>五、配件供应需求</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1.</w:t>
      </w:r>
      <w:r>
        <w:rPr>
          <w:b/>
          <w:bCs/>
        </w:rPr>
        <w:t>正品配件保障</w:t>
      </w:r>
    </w:p>
    <w:p>
      <w:pPr>
        <w:pStyle w:val="24"/>
        <w:numPr>
          <w:ilvl w:val="1"/>
          <w:numId w:val="1"/>
        </w:numPr>
      </w:pPr>
      <w:r>
        <w:t>维保服务过程中所使用的所有配件必须是原厂正品或经过原厂认证的高质量兼容配件，以确保设备的性能和安全性不受影响。严禁使用假冒伪劣配件。</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2.</w:t>
      </w:r>
      <w:r>
        <w:rPr>
          <w:b/>
          <w:bCs/>
        </w:rPr>
        <w:t>配件库存及供应速度</w:t>
      </w:r>
    </w:p>
    <w:p>
      <w:pPr>
        <w:pStyle w:val="24"/>
        <w:numPr>
          <w:ilvl w:val="1"/>
          <w:numId w:val="1"/>
        </w:numPr>
      </w:pPr>
      <w:r>
        <w:t>维保服务提供商应建立充足的配件库存，对于DR设备中常用的关键配件，如X射线管、探测器模块、高压发生器等，要确保有一定数量的现货储备，以便在需要更换配件时能及时供应，减少设备停机等待配件的时间。同时，对于一些不常用但可能会出现故障的配件，也应有快速调配的渠道和能力。</w:t>
      </w:r>
    </w:p>
    <w:bookmarkEnd w:id="5"/>
    <w:p>
      <w:pPr>
        <w:pStyle w:val="5"/>
      </w:pPr>
      <w:bookmarkStart w:id="6" w:name="六文档及报告需求"/>
      <w:r>
        <w:t>六、文档及报告需求</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1.</w:t>
      </w:r>
      <w:r>
        <w:rPr>
          <w:b/>
          <w:bCs/>
        </w:rPr>
        <w:t>维护记录文档</w:t>
      </w:r>
    </w:p>
    <w:p>
      <w:pPr>
        <w:pStyle w:val="24"/>
        <w:numPr>
          <w:ilvl w:val="1"/>
          <w:numId w:val="1"/>
        </w:numPr>
      </w:pPr>
      <w:r>
        <w:t>要求维保服务提供商在每次维护完成后，提供详细的维护记录文档，包括维护日期、维护内容、更换的配件情况、设备性能测试结果等信息，以便医院或使用单位对设备的维护历史有清晰的了解，也方便后续的设备管理和故障分析。</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2.</w:t>
      </w:r>
      <w:r>
        <w:rPr>
          <w:b/>
          <w:bCs/>
        </w:rPr>
        <w:t>故障分析报告</w:t>
      </w:r>
    </w:p>
    <w:p>
      <w:pPr>
        <w:pStyle w:val="24"/>
        <w:numPr>
          <w:ilvl w:val="1"/>
          <w:numId w:val="1"/>
        </w:numPr>
      </w:pPr>
      <w:r>
        <w:t>当设备出现故障并维修完成后，维保服务提供商应出具故障分析报告，详细说明故障发生的原因、诊断过程、采取的维修措施以及对设备性能的影响等内容，为设备的后续维护和管理提供参考依据。</w:t>
      </w:r>
    </w:p>
    <w:p>
      <w:pPr>
        <w:pStyle w:val="24"/>
        <w:numPr>
          <w:ilvl w:val="0"/>
          <w:numId w:val="0"/>
        </w:numPr>
        <w:ind w:left="720" w:leftChars="0" w:hanging="480" w:firstLineChars="0"/>
        <w:rPr>
          <w:rFonts w:hint="eastAsia"/>
          <w:lang w:val="en-US" w:eastAsia="zh-CN"/>
        </w:rPr>
      </w:pPr>
    </w:p>
    <w:p>
      <w:pPr>
        <w:pStyle w:val="24"/>
        <w:numPr>
          <w:ilvl w:val="0"/>
          <w:numId w:val="2"/>
        </w:numPr>
        <w:ind w:left="720" w:leftChars="0" w:hanging="480" w:firstLineChars="0"/>
        <w:rPr>
          <w:rFonts w:hint="eastAsia"/>
          <w:lang w:val="en-US" w:eastAsia="zh-CN"/>
        </w:rPr>
      </w:pPr>
      <w:r>
        <w:rPr>
          <w:b/>
          <w:bCs/>
        </w:rPr>
        <w:t>费用结构</w:t>
      </w:r>
      <w:r>
        <w:t>：</w:t>
      </w:r>
      <w:r>
        <w:rPr>
          <w:rFonts w:hint="eastAsia"/>
          <w:lang w:val="en-US" w:eastAsia="zh-CN"/>
        </w:rPr>
        <w:t>维保服务费在合同签订后每半年拨付一次。</w:t>
      </w:r>
    </w:p>
    <w:p>
      <w:pPr>
        <w:pStyle w:val="24"/>
        <w:numPr>
          <w:ilvl w:val="0"/>
          <w:numId w:val="0"/>
        </w:numPr>
        <w:spacing w:before="36" w:after="36"/>
        <w:rPr>
          <w:rFonts w:hint="eastAsia"/>
          <w:lang w:val="en-US" w:eastAsia="zh-CN"/>
        </w:rPr>
      </w:pPr>
    </w:p>
    <w:p>
      <w:pPr>
        <w:pStyle w:val="24"/>
        <w:numPr>
          <w:ilvl w:val="0"/>
          <w:numId w:val="0"/>
        </w:numPr>
        <w:spacing w:before="36" w:after="36"/>
        <w:rPr>
          <w:rFonts w:hint="eastAsia"/>
          <w:lang w:val="en-US" w:eastAsia="zh-CN"/>
        </w:rPr>
      </w:pPr>
    </w:p>
    <w:p>
      <w:pPr>
        <w:pStyle w:val="24"/>
        <w:numPr>
          <w:ilvl w:val="0"/>
          <w:numId w:val="0"/>
        </w:numPr>
        <w:spacing w:before="36" w:after="36"/>
        <w:rPr>
          <w:rFonts w:hint="eastAsia"/>
          <w:lang w:val="en-US" w:eastAsia="zh-CN"/>
        </w:rPr>
      </w:pPr>
    </w:p>
    <w:p>
      <w:pPr>
        <w:pStyle w:val="24"/>
        <w:numPr>
          <w:ilvl w:val="0"/>
          <w:numId w:val="0"/>
        </w:numPr>
        <w:spacing w:before="36" w:after="36"/>
        <w:rPr>
          <w:rFonts w:hint="eastAsia"/>
          <w:lang w:val="en-US" w:eastAsia="zh-CN"/>
        </w:rPr>
      </w:pPr>
    </w:p>
    <w:p>
      <w:pPr>
        <w:rPr>
          <w:rFonts w:hint="eastAsia"/>
          <w:b/>
          <w:bCs/>
          <w:sz w:val="32"/>
          <w:szCs w:val="32"/>
          <w:lang w:val="en-US" w:eastAsia="zh-CN"/>
        </w:rPr>
      </w:pPr>
      <w:r>
        <w:rPr>
          <w:rFonts w:hint="eastAsia"/>
          <w:b/>
          <w:bCs/>
          <w:sz w:val="32"/>
          <w:szCs w:val="32"/>
          <w:lang w:val="en-US" w:eastAsia="zh-CN"/>
        </w:rPr>
        <w:t>科主任签名：</w:t>
      </w:r>
    </w:p>
    <w:p>
      <w:pPr>
        <w:rPr>
          <w:rFonts w:hint="default"/>
          <w:b/>
          <w:bCs/>
          <w:sz w:val="32"/>
          <w:szCs w:val="32"/>
          <w:lang w:val="en-US" w:eastAsia="zh-CN"/>
        </w:rPr>
      </w:pPr>
      <w:r>
        <w:rPr>
          <w:rFonts w:hint="eastAsia"/>
          <w:b/>
          <w:bCs/>
          <w:sz w:val="32"/>
          <w:szCs w:val="32"/>
          <w:lang w:val="en-US" w:eastAsia="zh-CN"/>
        </w:rPr>
        <w:t>日      期：</w:t>
      </w:r>
    </w:p>
    <w:p>
      <w:pPr>
        <w:pStyle w:val="24"/>
        <w:numPr>
          <w:ilvl w:val="0"/>
          <w:numId w:val="0"/>
        </w:numPr>
        <w:spacing w:before="36" w:after="36"/>
        <w:rPr>
          <w:rFonts w:hint="eastAsia"/>
          <w:lang w:val="en-US" w:eastAsia="zh-CN"/>
        </w:rPr>
      </w:pPr>
    </w:p>
    <w:p>
      <w:pPr>
        <w:pStyle w:val="24"/>
        <w:numPr>
          <w:ilvl w:val="0"/>
          <w:numId w:val="0"/>
        </w:numPr>
        <w:rPr>
          <w:rFonts w:hint="eastAsia" w:eastAsiaTheme="minorEastAsia"/>
          <w:lang w:val="en-US" w:eastAsia="zh-CN"/>
        </w:rPr>
      </w:pPr>
    </w:p>
    <w:bookmarkEnd w:id="6"/>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A00002EF" w:usb1="4000004B" w:usb2="00000000" w:usb3="00000000" w:csb0="2000009F" w:csb1="00000000"/>
  </w:font>
  <w:font w:name="Consolas">
    <w:panose1 w:val="020B0609020204030204"/>
    <w:charset w:val="00"/>
    <w:family w:val="modern"/>
    <w:pitch w:val="default"/>
    <w:sig w:usb0="E00006FF" w:usb1="0000FCFF" w:usb2="00000001" w:usb3="00000000" w:csb0="600001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F5D5AB"/>
    <w:multiLevelType w:val="singleLevel"/>
    <w:tmpl w:val="BCF5D5AB"/>
    <w:lvl w:ilvl="0" w:tentative="0">
      <w:start w:val="7"/>
      <w:numFmt w:val="chineseCounting"/>
      <w:suff w:val="nothing"/>
      <w:lvlText w:val="%1、"/>
      <w:lvlJc w:val="left"/>
      <w:rPr>
        <w:rFonts w:hint="eastAsia"/>
      </w:rPr>
    </w:lvl>
  </w:abstractNum>
  <w:abstractNum w:abstractNumId="1">
    <w:nsid w:val="0000A991"/>
    <w:multiLevelType w:val="multilevel"/>
    <w:tmpl w:val="0000A991"/>
    <w:lvl w:ilvl="0" w:tentative="0">
      <w:start w:val="0"/>
      <w:numFmt w:val="bullet"/>
      <w:lvlText w:val="•"/>
      <w:lvlJc w:val="left"/>
      <w:pPr>
        <w:ind w:left="720" w:hanging="480"/>
      </w:pPr>
    </w:lvl>
    <w:lvl w:ilvl="1" w:tentative="0">
      <w:start w:val="0"/>
      <w:numFmt w:val="bullet"/>
      <w:lvlText w:val="–"/>
      <w:lvlJc w:val="left"/>
      <w:pPr>
        <w:ind w:left="1440" w:hanging="480"/>
      </w:pPr>
    </w:lvl>
    <w:lvl w:ilvl="2" w:tentative="0">
      <w:start w:val="0"/>
      <w:numFmt w:val="bullet"/>
      <w:lvlText w:val="•"/>
      <w:lvlJc w:val="left"/>
      <w:pPr>
        <w:ind w:left="2160" w:hanging="480"/>
      </w:pPr>
    </w:lvl>
    <w:lvl w:ilvl="3" w:tentative="0">
      <w:start w:val="0"/>
      <w:numFmt w:val="bullet"/>
      <w:lvlText w:val="–"/>
      <w:lvlJc w:val="left"/>
      <w:pPr>
        <w:ind w:left="2880" w:hanging="480"/>
      </w:pPr>
    </w:lvl>
    <w:lvl w:ilvl="4" w:tentative="0">
      <w:start w:val="0"/>
      <w:numFmt w:val="bullet"/>
      <w:lvlText w:val="•"/>
      <w:lvlJc w:val="left"/>
      <w:pPr>
        <w:ind w:left="3600" w:hanging="480"/>
      </w:pPr>
    </w:lvl>
    <w:lvl w:ilvl="5" w:tentative="0">
      <w:start w:val="0"/>
      <w:numFmt w:val="bullet"/>
      <w:lvlText w:val="–"/>
      <w:lvlJc w:val="left"/>
      <w:pPr>
        <w:ind w:left="4320" w:hanging="480"/>
      </w:pPr>
    </w:lvl>
    <w:lvl w:ilvl="6" w:tentative="0">
      <w:start w:val="0"/>
      <w:numFmt w:val="bullet"/>
      <w:lvlText w:val="•"/>
      <w:lvlJc w:val="left"/>
      <w:pPr>
        <w:ind w:left="5040" w:hanging="480"/>
      </w:pPr>
    </w:lvl>
    <w:lvl w:ilvl="7" w:tentative="0">
      <w:start w:val="0"/>
      <w:numFmt w:val="bullet"/>
      <w:lvlText w:val="–"/>
      <w:lvlJc w:val="left"/>
      <w:pPr>
        <w:ind w:left="5760" w:hanging="480"/>
      </w:pPr>
    </w:lvl>
    <w:lvl w:ilvl="8" w:tentative="0">
      <w:start w:val="0"/>
      <w:numFmt w:val="bullet"/>
      <w:lvlText w:val="•"/>
      <w:lvlJc w:val="left"/>
      <w:pPr>
        <w:ind w:left="648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5864544"/>
    <w:rsid w:val="276E6B4C"/>
    <w:rsid w:val="76206B3A"/>
  </w:rsids>
  <m:mathPr>
    <m:mathFont m:val="Cambria Math"/>
    <m:brkBin m:val="before"/>
    <m:brkBinSub m:val="--"/>
    <m:smallFrac m:val="0"/>
    <m:dispDef/>
    <m:lMargin m:val="0"/>
    <m:rMargin m:val="0"/>
    <m:defJc m:val="centerGroup"/>
    <m:wrapIndent m:val="1440"/>
    <m:intLim m:val="subSup"/>
    <m:naryLim m:val="undOvr"/>
    <m:wrapRight m:val="1"/>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 w:semiHidden="0" w:name="footnote text"/>
    <w:lsdException w:uiPriority="0" w:name="annotation text"/>
    <w:lsdException w:uiPriority="0" w:name="header"/>
    <w:lsdException w:uiPriority="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semiHidden="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nhideWhenUsed="0" w:uiPriority="0" w:semiHidden="0" w:name="List 5"/>
    <w:lsdException w:uiPriority="0" w:name="List Bullet 2"/>
    <w:lsdException w:uiPriority="0" w:name="List Bullet 3"/>
    <w:lsdException w:unhideWhenUsed="0" w:uiPriority="0" w:semiHidden="0" w:name="List Bullet 4"/>
    <w:lsdException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iPriority="0" w:name="Body Text Indent 2"/>
    <w:lsdException w:uiPriority="0" w:name="Body Text Indent 3"/>
    <w:lsdException w:qFormat="1" w:uiPriority="9" w:semiHidden="0" w:name="Block Text"/>
    <w:lsdException w:qFormat="1" w:unhideWhenUsed="0" w:uiPriority="0" w:semiHidden="0" w:name="Hyperlink"/>
    <w:lsdException w:uiPriority="0" w:name="FollowedHyperlink"/>
    <w:lsdException w:unhideWhenUsed="0" w:uiPriority="0" w:semiHidden="0" w:name="Strong"/>
    <w:lsdException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EastAsia" w:cstheme="minorBidi"/>
      <w:sz w:val="24"/>
      <w:szCs w:val="24"/>
      <w:lang w:val="en-US"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sz w:val="28"/>
      <w:szCs w:val="28"/>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Cs/>
      <w:i/>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Cs/>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before="180" w:after="180"/>
    </w:pPr>
  </w:style>
  <w:style w:type="paragraph" w:styleId="12">
    <w:name w:val="caption"/>
    <w:basedOn w:val="1"/>
    <w:next w:val="1"/>
    <w:link w:val="21"/>
    <w:qFormat/>
    <w:uiPriority w:val="0"/>
    <w:pPr>
      <w:spacing w:after="120"/>
    </w:pPr>
    <w:rPr>
      <w:i/>
    </w:rPr>
  </w:style>
  <w:style w:type="paragraph" w:styleId="13">
    <w:name w:val="Block Text"/>
    <w:basedOn w:val="3"/>
    <w:next w:val="3"/>
    <w:unhideWhenUsed/>
    <w:qFormat/>
    <w:uiPriority w:val="9"/>
    <w:pPr>
      <w:spacing w:before="100" w:after="100"/>
      <w:ind w:left="480" w:right="480"/>
    </w:pPr>
  </w:style>
  <w:style w:type="paragraph" w:styleId="14">
    <w:name w:val="Date"/>
    <w:next w:val="3"/>
    <w:qFormat/>
    <w:uiPriority w:val="0"/>
    <w:pPr>
      <w:keepNext/>
      <w:keepLines/>
      <w:spacing w:after="200"/>
      <w:jc w:val="center"/>
    </w:pPr>
    <w:rPr>
      <w:rFonts w:asciiTheme="minorHAnsi" w:hAnsiTheme="minorHAnsi" w:eastAsiaTheme="minorEastAsia" w:cstheme="minorBidi"/>
      <w:sz w:val="24"/>
      <w:szCs w:val="24"/>
      <w:lang w:val="en-US" w:eastAsia="en-US" w:bidi="ar-SA"/>
    </w:rPr>
  </w:style>
  <w:style w:type="paragraph" w:styleId="15">
    <w:name w:val="Subtitle"/>
    <w:basedOn w:val="16"/>
    <w:next w:val="3"/>
    <w:qFormat/>
    <w:uiPriority w:val="0"/>
    <w:pPr>
      <w:spacing w:before="240"/>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45B8A" w:themeColor="accent1" w:themeShade="B5"/>
      <w:sz w:val="36"/>
      <w:szCs w:val="36"/>
    </w:rPr>
  </w:style>
  <w:style w:type="paragraph" w:styleId="17">
    <w:name w:val="footnote text"/>
    <w:basedOn w:val="1"/>
    <w:unhideWhenUsed/>
    <w:qFormat/>
    <w:uiPriority w:val="9"/>
  </w:style>
  <w:style w:type="character" w:styleId="20">
    <w:name w:val="Hyperlink"/>
    <w:basedOn w:val="21"/>
    <w:qFormat/>
    <w:uiPriority w:val="0"/>
    <w:rPr>
      <w:color w:val="4F81BD" w:themeColor="accent1"/>
      <w14:textFill>
        <w14:solidFill>
          <w14:schemeClr w14:val="accent1"/>
        </w14:solidFill>
      </w14:textFill>
    </w:rPr>
  </w:style>
  <w:style w:type="character" w:customStyle="1" w:styleId="21">
    <w:name w:val="题注 字符"/>
    <w:basedOn w:val="19"/>
    <w:link w:val="12"/>
    <w:qFormat/>
    <w:uiPriority w:val="0"/>
  </w:style>
  <w:style w:type="character" w:styleId="22">
    <w:name w:val="footnote reference"/>
    <w:basedOn w:val="21"/>
    <w:qFormat/>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EastAsia" w:cstheme="minorBidi"/>
      <w:sz w:val="24"/>
      <w:szCs w:val="24"/>
      <w:lang w:val="en-US"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书目1"/>
    <w:basedOn w:val="1"/>
    <w:qFormat/>
    <w:uiPriority w:val="0"/>
  </w:style>
  <w:style w:type="table" w:customStyle="1" w:styleId="28">
    <w:name w:val="Table"/>
    <w:semiHidden/>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tcPr>
        <w:tcBorders>
          <w:bottom w:val="single" w:color="auto" w:sz="0" w:space="0"/>
        </w:tcBorders>
        <w:vAlign w:val="bottom"/>
      </w:tcPr>
    </w:tblStylePr>
  </w:style>
  <w:style w:type="paragraph" w:customStyle="1" w:styleId="29">
    <w:name w:val="Definition Term"/>
    <w:basedOn w:val="1"/>
    <w:next w:val="30"/>
    <w:qFormat/>
    <w:uiPriority w:val="0"/>
    <w:pPr>
      <w:keepNext/>
      <w:keepLines/>
      <w:spacing w:after="0"/>
    </w:pPr>
    <w:rPr>
      <w:b/>
    </w:rPr>
  </w:style>
  <w:style w:type="paragraph" w:customStyle="1" w:styleId="30">
    <w:name w:val="Definition"/>
    <w:basedOn w:val="1"/>
    <w:qFormat/>
    <w:uiPriority w:val="0"/>
  </w:style>
  <w:style w:type="paragraph" w:customStyle="1" w:styleId="31">
    <w:name w:val="Table Caption"/>
    <w:basedOn w:val="12"/>
    <w:qFormat/>
    <w:uiPriority w:val="0"/>
    <w:pPr>
      <w:keepNext/>
    </w:pPr>
  </w:style>
  <w:style w:type="paragraph" w:customStyle="1" w:styleId="32">
    <w:name w:val="Image Caption"/>
    <w:basedOn w:val="12"/>
    <w:qFormat/>
    <w:uiPriority w:val="0"/>
  </w:style>
  <w:style w:type="paragraph" w:customStyle="1" w:styleId="33">
    <w:name w:val="Figure"/>
    <w:basedOn w:val="1"/>
    <w:qFormat/>
    <w:uiPriority w:val="0"/>
  </w:style>
  <w:style w:type="paragraph" w:customStyle="1" w:styleId="34">
    <w:name w:val="Captioned Figure"/>
    <w:basedOn w:val="33"/>
    <w:qFormat/>
    <w:uiPriority w:val="0"/>
    <w:pPr>
      <w:keepNext/>
    </w:pPr>
  </w:style>
  <w:style w:type="character" w:customStyle="1" w:styleId="35">
    <w:name w:val="Verbatim Char"/>
    <w:basedOn w:val="21"/>
    <w:link w:val="36"/>
    <w:qFormat/>
    <w:uiPriority w:val="0"/>
    <w:rPr>
      <w:rFonts w:ascii="Consolas" w:hAnsi="Consolas"/>
      <w:sz w:val="22"/>
    </w:rPr>
  </w:style>
  <w:style w:type="paragraph" w:customStyle="1" w:styleId="36">
    <w:name w:val="Source Code"/>
    <w:basedOn w:val="1"/>
    <w:link w:val="35"/>
    <w:qFormat/>
    <w:uiPriority w:val="0"/>
    <w:pPr>
      <w:wordWrap w:val="0"/>
    </w:pPr>
  </w:style>
  <w:style w:type="character" w:customStyle="1" w:styleId="37">
    <w:name w:val="Section Number"/>
    <w:basedOn w:val="21"/>
    <w:qFormat/>
    <w:uiPriority w:val="0"/>
  </w:style>
  <w:style w:type="paragraph" w:customStyle="1" w:styleId="38">
    <w:name w:val="TOC 标题1"/>
    <w:basedOn w:val="2"/>
    <w:next w:val="3"/>
    <w:unhideWhenUsed/>
    <w:qFormat/>
    <w:uiPriority w:val="39"/>
    <w:pPr>
      <w:spacing w:before="240" w:line="259" w:lineRule="auto"/>
      <w:outlineLvl w:val="9"/>
    </w:pPr>
    <w:rPr>
      <w:b w:val="0"/>
      <w:bCs w:val="0"/>
      <w:color w:val="376092" w:themeColor="accent1" w:themeShade="BF"/>
    </w:rPr>
  </w:style>
  <w:style w:type="character" w:customStyle="1" w:styleId="39">
    <w:name w:val="KeywordTok"/>
    <w:basedOn w:val="35"/>
    <w:qFormat/>
    <w:uiPriority w:val="0"/>
    <w:rPr>
      <w:rFonts w:ascii="Consolas" w:hAnsi="Consolas"/>
      <w:b/>
      <w:color w:val="007020"/>
      <w:sz w:val="22"/>
    </w:rPr>
  </w:style>
  <w:style w:type="character" w:customStyle="1" w:styleId="40">
    <w:name w:val="DataTypeTok"/>
    <w:basedOn w:val="35"/>
    <w:qFormat/>
    <w:uiPriority w:val="0"/>
    <w:rPr>
      <w:rFonts w:ascii="Consolas" w:hAnsi="Consolas"/>
      <w:color w:val="902000"/>
      <w:sz w:val="22"/>
    </w:rPr>
  </w:style>
  <w:style w:type="character" w:customStyle="1" w:styleId="41">
    <w:name w:val="DecValTok"/>
    <w:basedOn w:val="35"/>
    <w:qFormat/>
    <w:uiPriority w:val="0"/>
    <w:rPr>
      <w:rFonts w:ascii="Consolas" w:hAnsi="Consolas"/>
      <w:color w:val="40A070"/>
      <w:sz w:val="22"/>
    </w:rPr>
  </w:style>
  <w:style w:type="character" w:customStyle="1" w:styleId="42">
    <w:name w:val="BaseNTok"/>
    <w:basedOn w:val="35"/>
    <w:qFormat/>
    <w:uiPriority w:val="0"/>
    <w:rPr>
      <w:rFonts w:ascii="Consolas" w:hAnsi="Consolas"/>
      <w:color w:val="40A070"/>
      <w:sz w:val="22"/>
    </w:rPr>
  </w:style>
  <w:style w:type="character" w:customStyle="1" w:styleId="43">
    <w:name w:val="FloatTok"/>
    <w:basedOn w:val="35"/>
    <w:qFormat/>
    <w:uiPriority w:val="0"/>
    <w:rPr>
      <w:rFonts w:ascii="Consolas" w:hAnsi="Consolas"/>
      <w:color w:val="40A070"/>
      <w:sz w:val="22"/>
    </w:rPr>
  </w:style>
  <w:style w:type="character" w:customStyle="1" w:styleId="44">
    <w:name w:val="ConstantTok"/>
    <w:basedOn w:val="35"/>
    <w:qFormat/>
    <w:uiPriority w:val="0"/>
    <w:rPr>
      <w:rFonts w:ascii="Consolas" w:hAnsi="Consolas"/>
      <w:color w:val="880000"/>
      <w:sz w:val="22"/>
    </w:rPr>
  </w:style>
  <w:style w:type="character" w:customStyle="1" w:styleId="45">
    <w:name w:val="CharTok"/>
    <w:basedOn w:val="35"/>
    <w:qFormat/>
    <w:uiPriority w:val="0"/>
    <w:rPr>
      <w:rFonts w:ascii="Consolas" w:hAnsi="Consolas"/>
      <w:color w:val="4070A0"/>
      <w:sz w:val="22"/>
    </w:rPr>
  </w:style>
  <w:style w:type="character" w:customStyle="1" w:styleId="46">
    <w:name w:val="SpecialCharTok"/>
    <w:basedOn w:val="35"/>
    <w:qFormat/>
    <w:uiPriority w:val="0"/>
    <w:rPr>
      <w:rFonts w:ascii="Consolas" w:hAnsi="Consolas"/>
      <w:color w:val="4070A0"/>
      <w:sz w:val="22"/>
    </w:rPr>
  </w:style>
  <w:style w:type="character" w:customStyle="1" w:styleId="47">
    <w:name w:val="StringTok"/>
    <w:basedOn w:val="35"/>
    <w:qFormat/>
    <w:uiPriority w:val="0"/>
    <w:rPr>
      <w:rFonts w:ascii="Consolas" w:hAnsi="Consolas"/>
      <w:color w:val="4070A0"/>
      <w:sz w:val="22"/>
    </w:rPr>
  </w:style>
  <w:style w:type="character" w:customStyle="1" w:styleId="48">
    <w:name w:val="VerbatimStringTok"/>
    <w:basedOn w:val="35"/>
    <w:qFormat/>
    <w:uiPriority w:val="0"/>
    <w:rPr>
      <w:rFonts w:ascii="Consolas" w:hAnsi="Consolas"/>
      <w:color w:val="4070A0"/>
      <w:sz w:val="22"/>
    </w:rPr>
  </w:style>
  <w:style w:type="character" w:customStyle="1" w:styleId="49">
    <w:name w:val="SpecialStringTok"/>
    <w:basedOn w:val="35"/>
    <w:qFormat/>
    <w:uiPriority w:val="0"/>
    <w:rPr>
      <w:rFonts w:ascii="Consolas" w:hAnsi="Consolas"/>
      <w:color w:val="BB6688"/>
      <w:sz w:val="22"/>
    </w:rPr>
  </w:style>
  <w:style w:type="character" w:customStyle="1" w:styleId="50">
    <w:name w:val="ImportTok"/>
    <w:basedOn w:val="35"/>
    <w:qFormat/>
    <w:uiPriority w:val="0"/>
    <w:rPr>
      <w:rFonts w:ascii="Consolas" w:hAnsi="Consolas"/>
      <w:b/>
      <w:color w:val="008000"/>
      <w:sz w:val="22"/>
    </w:rPr>
  </w:style>
  <w:style w:type="character" w:customStyle="1" w:styleId="51">
    <w:name w:val="CommentTok"/>
    <w:basedOn w:val="35"/>
    <w:qFormat/>
    <w:uiPriority w:val="0"/>
    <w:rPr>
      <w:rFonts w:ascii="Consolas" w:hAnsi="Consolas"/>
      <w:i/>
      <w:color w:val="60A0B0"/>
      <w:sz w:val="22"/>
    </w:rPr>
  </w:style>
  <w:style w:type="character" w:customStyle="1" w:styleId="52">
    <w:name w:val="DocumentationTok"/>
    <w:basedOn w:val="35"/>
    <w:qFormat/>
    <w:uiPriority w:val="0"/>
    <w:rPr>
      <w:rFonts w:ascii="Consolas" w:hAnsi="Consolas"/>
      <w:i/>
      <w:color w:val="BA2121"/>
      <w:sz w:val="22"/>
    </w:rPr>
  </w:style>
  <w:style w:type="character" w:customStyle="1" w:styleId="53">
    <w:name w:val="AnnotationTok"/>
    <w:basedOn w:val="35"/>
    <w:qFormat/>
    <w:uiPriority w:val="0"/>
    <w:rPr>
      <w:rFonts w:ascii="Consolas" w:hAnsi="Consolas"/>
      <w:b/>
      <w:i/>
      <w:color w:val="60A0B0"/>
      <w:sz w:val="22"/>
    </w:rPr>
  </w:style>
  <w:style w:type="character" w:customStyle="1" w:styleId="54">
    <w:name w:val="CommentVarTok"/>
    <w:basedOn w:val="35"/>
    <w:qFormat/>
    <w:uiPriority w:val="0"/>
    <w:rPr>
      <w:rFonts w:ascii="Consolas" w:hAnsi="Consolas"/>
      <w:b/>
      <w:i/>
      <w:color w:val="60A0B0"/>
      <w:sz w:val="22"/>
    </w:rPr>
  </w:style>
  <w:style w:type="character" w:customStyle="1" w:styleId="55">
    <w:name w:val="OtherTok"/>
    <w:basedOn w:val="35"/>
    <w:qFormat/>
    <w:uiPriority w:val="0"/>
    <w:rPr>
      <w:rFonts w:ascii="Consolas" w:hAnsi="Consolas"/>
      <w:color w:val="007020"/>
      <w:sz w:val="22"/>
    </w:rPr>
  </w:style>
  <w:style w:type="character" w:customStyle="1" w:styleId="56">
    <w:name w:val="FunctionTok"/>
    <w:basedOn w:val="35"/>
    <w:qFormat/>
    <w:uiPriority w:val="0"/>
    <w:rPr>
      <w:rFonts w:ascii="Consolas" w:hAnsi="Consolas"/>
      <w:color w:val="06287E"/>
      <w:sz w:val="22"/>
    </w:rPr>
  </w:style>
  <w:style w:type="character" w:customStyle="1" w:styleId="57">
    <w:name w:val="VariableTok"/>
    <w:basedOn w:val="35"/>
    <w:qFormat/>
    <w:uiPriority w:val="0"/>
    <w:rPr>
      <w:rFonts w:ascii="Consolas" w:hAnsi="Consolas"/>
      <w:color w:val="19177C"/>
      <w:sz w:val="22"/>
    </w:rPr>
  </w:style>
  <w:style w:type="character" w:customStyle="1" w:styleId="58">
    <w:name w:val="ControlFlowTok"/>
    <w:basedOn w:val="35"/>
    <w:qFormat/>
    <w:uiPriority w:val="0"/>
    <w:rPr>
      <w:rFonts w:ascii="Consolas" w:hAnsi="Consolas"/>
      <w:b/>
      <w:color w:val="007020"/>
      <w:sz w:val="22"/>
    </w:rPr>
  </w:style>
  <w:style w:type="character" w:customStyle="1" w:styleId="59">
    <w:name w:val="OperatorTok"/>
    <w:basedOn w:val="35"/>
    <w:qFormat/>
    <w:uiPriority w:val="0"/>
    <w:rPr>
      <w:rFonts w:ascii="Consolas" w:hAnsi="Consolas"/>
      <w:color w:val="666666"/>
      <w:sz w:val="22"/>
    </w:rPr>
  </w:style>
  <w:style w:type="character" w:customStyle="1" w:styleId="60">
    <w:name w:val="BuiltInTok"/>
    <w:basedOn w:val="35"/>
    <w:qFormat/>
    <w:uiPriority w:val="0"/>
    <w:rPr>
      <w:rFonts w:ascii="Consolas" w:hAnsi="Consolas"/>
      <w:color w:val="008000"/>
      <w:sz w:val="22"/>
    </w:rPr>
  </w:style>
  <w:style w:type="character" w:customStyle="1" w:styleId="61">
    <w:name w:val="ExtensionTok"/>
    <w:basedOn w:val="35"/>
    <w:qFormat/>
    <w:uiPriority w:val="0"/>
    <w:rPr>
      <w:rFonts w:ascii="Consolas" w:hAnsi="Consolas"/>
      <w:sz w:val="22"/>
    </w:rPr>
  </w:style>
  <w:style w:type="character" w:customStyle="1" w:styleId="62">
    <w:name w:val="PreprocessorTok"/>
    <w:basedOn w:val="35"/>
    <w:qFormat/>
    <w:uiPriority w:val="0"/>
    <w:rPr>
      <w:rFonts w:ascii="Consolas" w:hAnsi="Consolas"/>
      <w:color w:val="BC7A00"/>
      <w:sz w:val="22"/>
    </w:rPr>
  </w:style>
  <w:style w:type="character" w:customStyle="1" w:styleId="63">
    <w:name w:val="AttributeTok"/>
    <w:basedOn w:val="35"/>
    <w:qFormat/>
    <w:uiPriority w:val="0"/>
    <w:rPr>
      <w:rFonts w:ascii="Consolas" w:hAnsi="Consolas"/>
      <w:color w:val="7D9029"/>
      <w:sz w:val="22"/>
    </w:rPr>
  </w:style>
  <w:style w:type="character" w:customStyle="1" w:styleId="64">
    <w:name w:val="RegionMarkerTok"/>
    <w:basedOn w:val="35"/>
    <w:qFormat/>
    <w:uiPriority w:val="0"/>
    <w:rPr>
      <w:rFonts w:ascii="Consolas" w:hAnsi="Consolas"/>
      <w:sz w:val="22"/>
    </w:rPr>
  </w:style>
  <w:style w:type="character" w:customStyle="1" w:styleId="65">
    <w:name w:val="InformationTok"/>
    <w:basedOn w:val="35"/>
    <w:qFormat/>
    <w:uiPriority w:val="0"/>
    <w:rPr>
      <w:rFonts w:ascii="Consolas" w:hAnsi="Consolas"/>
      <w:b/>
      <w:i/>
      <w:color w:val="60A0B0"/>
      <w:sz w:val="22"/>
    </w:rPr>
  </w:style>
  <w:style w:type="character" w:customStyle="1" w:styleId="66">
    <w:name w:val="WarningTok"/>
    <w:basedOn w:val="35"/>
    <w:qFormat/>
    <w:uiPriority w:val="0"/>
    <w:rPr>
      <w:rFonts w:ascii="Consolas" w:hAnsi="Consolas"/>
      <w:b/>
      <w:i/>
      <w:color w:val="60A0B0"/>
      <w:sz w:val="22"/>
    </w:rPr>
  </w:style>
  <w:style w:type="character" w:customStyle="1" w:styleId="67">
    <w:name w:val="AlertTok"/>
    <w:basedOn w:val="35"/>
    <w:qFormat/>
    <w:uiPriority w:val="0"/>
    <w:rPr>
      <w:rFonts w:ascii="Consolas" w:hAnsi="Consolas"/>
      <w:b/>
      <w:color w:val="FF0000"/>
      <w:sz w:val="22"/>
    </w:rPr>
  </w:style>
  <w:style w:type="character" w:customStyle="1" w:styleId="68">
    <w:name w:val="ErrorTok"/>
    <w:basedOn w:val="35"/>
    <w:qFormat/>
    <w:uiPriority w:val="0"/>
    <w:rPr>
      <w:rFonts w:ascii="Consolas" w:hAnsi="Consolas"/>
      <w:b/>
      <w:color w:val="FF0000"/>
      <w:sz w:val="22"/>
    </w:rPr>
  </w:style>
  <w:style w:type="character" w:customStyle="1" w:styleId="69">
    <w:name w:val="NormalTok"/>
    <w:basedOn w:val="35"/>
    <w:qFormat/>
    <w:uiPriority w:val="0"/>
    <w:rPr>
      <w:rFonts w:ascii="Consolas" w:hAnsi="Consolas"/>
      <w:sz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1959</Words>
  <Characters>1967</Characters>
  <Lines>9</Lines>
  <Paragraphs>2</Paragraphs>
  <TotalTime>1</TotalTime>
  <ScaleCrop>false</ScaleCrop>
  <LinksUpToDate>false</LinksUpToDate>
  <CharactersWithSpaces>1971</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2025-01-23T01:05:00Z</dcterms:created>
  <dc:creator>旧时歌谣</dc:creator>
  <cp:lastModifiedBy>Administrator</cp:lastModifiedBy>
  <dcterms:modified xsi:type="dcterms:W3CDTF">2025-02-08T08:07:36Z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eyJoZGlkIjoiYmIxZjRjNmJlZjNhMmIwYTNkNTBjZWU4Njk4YTBkYWIiLCJ1c2VySWQiOiIyNTgxOTczNDcifQ==</vt:lpwstr>
  </property>
  <property fmtid="{D5CDD505-2E9C-101B-9397-08002B2CF9AE}" pid="3" name="KSOProductBuildVer">
    <vt:lpwstr>2052-11.8.2.8808</vt:lpwstr>
  </property>
  <property fmtid="{D5CDD505-2E9C-101B-9397-08002B2CF9AE}" pid="4" name="ICV">
    <vt:lpwstr>2060B84AFC2B423FAA3A69A0C130038C_12</vt:lpwstr>
  </property>
</Properties>
</file>