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b/>
          <w:sz w:val="44"/>
          <w:szCs w:val="44"/>
        </w:rPr>
        <w:t>医疗设备全生命周期运维管理服务</w:t>
      </w:r>
    </w:p>
    <w:p>
      <w:pPr>
        <w:jc w:val="center"/>
        <w:rPr>
          <w:b/>
          <w:sz w:val="44"/>
          <w:szCs w:val="44"/>
        </w:rPr>
      </w:pPr>
      <w:r>
        <w:rPr>
          <w:b/>
          <w:sz w:val="44"/>
          <w:szCs w:val="44"/>
        </w:rPr>
        <w:t>需求</w:t>
      </w:r>
    </w:p>
    <w:p>
      <w:pPr>
        <w:jc w:val="center"/>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w:t>
      </w:r>
      <w:r>
        <w:rPr>
          <w:rFonts w:hint="eastAsia" w:ascii="仿宋" w:hAnsi="仿宋" w:eastAsia="仿宋" w:cs="仿宋"/>
          <w:b w:val="0"/>
          <w:bCs/>
          <w:sz w:val="28"/>
          <w:szCs w:val="28"/>
          <w:lang w:val="en-US" w:eastAsia="zh-CN"/>
        </w:rPr>
        <w:t>96万元2年，48万元/年</w:t>
      </w:r>
      <w:r>
        <w:rPr>
          <w:rFonts w:hint="eastAsia" w:ascii="仿宋" w:hAnsi="仿宋" w:eastAsia="仿宋" w:cs="仿宋"/>
          <w:b w:val="0"/>
          <w:bCs/>
          <w:sz w:val="28"/>
          <w:szCs w:val="28"/>
          <w:lang w:eastAsia="zh-CN"/>
        </w:rPr>
        <w:t>）</w:t>
      </w:r>
    </w:p>
    <w:tbl>
      <w:tblPr>
        <w:tblStyle w:val="12"/>
        <w:tblW w:w="92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14"/>
        <w:gridCol w:w="808"/>
        <w:gridCol w:w="73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1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outlineLvl w:val="0"/>
              <w:rPr>
                <w:rFonts w:ascii="宋体" w:hAnsi="宋体" w:cs="宋体"/>
              </w:rPr>
            </w:pPr>
            <w:bookmarkStart w:id="0" w:name="_Toc27198"/>
            <w:r>
              <w:rPr>
                <w:rFonts w:hint="eastAsia" w:ascii="宋体" w:hAnsi="宋体" w:cs="宋体"/>
              </w:rPr>
              <w:t>服务名称</w:t>
            </w:r>
            <w:bookmarkEnd w:id="0"/>
          </w:p>
        </w:tc>
        <w:tc>
          <w:tcPr>
            <w:tcW w:w="80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outlineLvl w:val="0"/>
              <w:rPr>
                <w:rFonts w:ascii="宋体" w:hAnsi="宋体" w:cs="宋体"/>
              </w:rPr>
            </w:pPr>
            <w:bookmarkStart w:id="1" w:name="_Toc31365"/>
            <w:r>
              <w:rPr>
                <w:rFonts w:hint="eastAsia" w:ascii="宋体" w:hAnsi="宋体" w:cs="宋体"/>
              </w:rPr>
              <w:t>数量</w:t>
            </w:r>
            <w:bookmarkEnd w:id="1"/>
          </w:p>
        </w:tc>
        <w:tc>
          <w:tcPr>
            <w:tcW w:w="732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outlineLvl w:val="0"/>
              <w:rPr>
                <w:rFonts w:ascii="宋体" w:hAnsi="宋体" w:cs="宋体"/>
              </w:rPr>
            </w:pPr>
            <w:bookmarkStart w:id="2" w:name="_Toc4200"/>
            <w:r>
              <w:rPr>
                <w:rFonts w:hint="eastAsia" w:ascii="宋体" w:hAnsi="宋体" w:cs="宋体"/>
              </w:rPr>
              <w:t>服务内容和要求</w:t>
            </w:r>
            <w:bookmarkEnd w:id="2"/>
            <w:r>
              <w:rPr>
                <w:rFonts w:hint="eastAsia" w:ascii="宋体" w:hAnsi="宋体" w:cs="宋体"/>
              </w:rPr>
              <w:t>（技术要求）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114" w:type="dxa"/>
            <w:tcBorders>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医院医疗设备全生命周期运维管理服务</w:t>
            </w:r>
          </w:p>
        </w:tc>
        <w:tc>
          <w:tcPr>
            <w:tcW w:w="808" w:type="dxa"/>
            <w:tcBorders>
              <w:left w:val="single" w:color="auto" w:sz="4" w:space="0"/>
              <w:bottom w:val="single" w:color="auto" w:sz="4" w:space="0"/>
              <w:right w:val="single" w:color="auto" w:sz="4" w:space="0"/>
            </w:tcBorders>
            <w:vAlign w:val="center"/>
          </w:tcPr>
          <w:p>
            <w:pPr>
              <w:snapToGrid w:val="0"/>
              <w:spacing w:line="360" w:lineRule="exact"/>
              <w:jc w:val="center"/>
              <w:outlineLvl w:val="0"/>
              <w:rPr>
                <w:rFonts w:ascii="宋体" w:hAnsi="宋体" w:cs="宋体"/>
                <w:szCs w:val="21"/>
              </w:rPr>
            </w:pPr>
            <w:r>
              <w:rPr>
                <w:rFonts w:hint="eastAsia" w:ascii="宋体" w:hAnsi="宋体" w:cs="宋体"/>
                <w:szCs w:val="21"/>
              </w:rPr>
              <w:t>1项</w:t>
            </w:r>
          </w:p>
        </w:tc>
        <w:tc>
          <w:tcPr>
            <w:tcW w:w="7327" w:type="dxa"/>
            <w:tcBorders>
              <w:top w:val="single" w:color="auto" w:sz="4" w:space="0"/>
              <w:left w:val="single" w:color="auto" w:sz="4" w:space="0"/>
              <w:right w:val="single" w:color="auto" w:sz="4" w:space="0"/>
            </w:tcBorders>
            <w:vAlign w:val="center"/>
          </w:tcPr>
          <w:p>
            <w:pPr>
              <w:spacing w:line="360" w:lineRule="auto"/>
              <w:outlineLvl w:val="0"/>
              <w:rPr>
                <w:b/>
                <w:bCs/>
              </w:rPr>
            </w:pPr>
            <w:bookmarkStart w:id="3" w:name="_Toc15605"/>
            <w:r>
              <w:rPr>
                <w:rFonts w:hint="eastAsia"/>
                <w:b/>
                <w:bCs/>
              </w:rPr>
              <w:t>一、人员、场地、设备要求：</w:t>
            </w:r>
            <w:bookmarkEnd w:id="3"/>
          </w:p>
          <w:p>
            <w:pPr>
              <w:spacing w:line="360" w:lineRule="auto"/>
              <w:outlineLvl w:val="0"/>
            </w:pPr>
            <w:bookmarkStart w:id="4" w:name="_Toc16306"/>
            <w:r>
              <w:rPr>
                <w:rFonts w:hint="eastAsia"/>
              </w:rPr>
              <w:t>1、提供医疗设备专业技术服务培训；（培训讲师应至少接受过一家设备厂家专业技术培训，有培训证书，提供资质证书）。</w:t>
            </w:r>
            <w:bookmarkEnd w:id="4"/>
          </w:p>
          <w:p>
            <w:pPr>
              <w:spacing w:line="360" w:lineRule="auto"/>
              <w:outlineLvl w:val="0"/>
            </w:pPr>
            <w:bookmarkStart w:id="5" w:name="_Toc13357"/>
            <w:r>
              <w:rPr>
                <w:rFonts w:hint="eastAsia"/>
              </w:rPr>
              <w:t>2、在广西区内有或者承诺中标后在广西区内设立工作机构或授权服务机构，建立备件库，有设备仓库，保证有能力支持医院进行医疗设备维修、维护和管理服务，以提高设备的维修效率。（提供相关证明材料，以及配件与备件机清单）。</w:t>
            </w:r>
          </w:p>
          <w:p>
            <w:pPr>
              <w:spacing w:line="560" w:lineRule="exact"/>
              <w:outlineLvl w:val="0"/>
            </w:pPr>
            <w:r>
              <w:rPr>
                <w:rFonts w:hint="eastAsia"/>
              </w:rPr>
              <w:t>3、公司拥有医疗设备专业技术人员</w:t>
            </w:r>
            <w:r>
              <w:rPr>
                <w:rFonts w:hint="eastAsia"/>
                <w:lang w:val="en-US" w:eastAsia="zh-CN"/>
              </w:rPr>
              <w:t>5</w:t>
            </w:r>
            <w:r>
              <w:rPr>
                <w:rFonts w:hint="eastAsia"/>
              </w:rPr>
              <w:t>名（派驻人员应具备大专及以上学历或三年以上设备维护工作经验）。</w:t>
            </w:r>
            <w:bookmarkEnd w:id="5"/>
          </w:p>
          <w:p>
            <w:pPr>
              <w:spacing w:line="560" w:lineRule="exact"/>
              <w:outlineLvl w:val="0"/>
            </w:pPr>
            <w:bookmarkStart w:id="6" w:name="_Toc11036"/>
            <w:r>
              <w:rPr>
                <w:rFonts w:hint="eastAsia"/>
              </w:rPr>
              <w:t>4、拥有3种相关医疗设备信息化管理产品。（提供清单）</w:t>
            </w:r>
            <w:bookmarkEnd w:id="6"/>
          </w:p>
          <w:p>
            <w:pPr>
              <w:spacing w:line="560" w:lineRule="exact"/>
              <w:outlineLvl w:val="0"/>
            </w:pPr>
            <w:bookmarkStart w:id="7" w:name="_Toc10716"/>
            <w:r>
              <w:rPr>
                <w:rFonts w:hint="eastAsia"/>
              </w:rPr>
              <w:t>5、提供7×24小时服务热线电话。</w:t>
            </w:r>
            <w:bookmarkEnd w:id="7"/>
          </w:p>
          <w:p>
            <w:pPr>
              <w:spacing w:line="560" w:lineRule="exact"/>
            </w:pPr>
            <w:r>
              <w:rPr>
                <w:rFonts w:hint="eastAsia"/>
              </w:rPr>
              <w:t>6、提供一套医疗设备信息化管理软件供医院使用，服务期内不收取系统维护费用，服务期结束后，医院有该系统的使用权及产权，系统维护费用不高于软件合同价的8%，具体金额另议。</w:t>
            </w:r>
          </w:p>
          <w:p>
            <w:pPr>
              <w:spacing w:line="560" w:lineRule="exact"/>
              <w:outlineLvl w:val="0"/>
              <w:rPr>
                <w:b/>
                <w:bCs/>
              </w:rPr>
            </w:pPr>
            <w:bookmarkStart w:id="8" w:name="_Toc8417"/>
            <w:r>
              <w:rPr>
                <w:rFonts w:hint="eastAsia"/>
                <w:b/>
                <w:bCs/>
              </w:rPr>
              <w:t>二、服务主要内容：</w:t>
            </w:r>
            <w:bookmarkEnd w:id="8"/>
          </w:p>
          <w:p>
            <w:pPr>
              <w:spacing w:line="560" w:lineRule="exact"/>
              <w:outlineLvl w:val="0"/>
            </w:pPr>
            <w:bookmarkStart w:id="9" w:name="_Toc18486"/>
            <w:r>
              <w:rPr>
                <w:rFonts w:hint="eastAsia"/>
              </w:rPr>
              <w:t>1、</w:t>
            </w:r>
            <w:bookmarkEnd w:id="9"/>
            <w:r>
              <w:rPr>
                <w:rFonts w:hint="eastAsia"/>
              </w:rPr>
              <w:t>派驻不少于</w:t>
            </w:r>
            <w:r>
              <w:rPr>
                <w:rFonts w:hint="eastAsia"/>
                <w:lang w:val="en-US" w:eastAsia="zh-CN"/>
              </w:rPr>
              <w:t>5</w:t>
            </w:r>
            <w:r>
              <w:rPr>
                <w:rFonts w:hint="eastAsia"/>
              </w:rPr>
              <w:t>名技术人员常驻医院提供5x8小时服务（节假日除外），5x24小时电话技术支持服务；若需技术人员长期加班工作，需双方协商决定工作时间、工作内容和加班补贴。</w:t>
            </w:r>
          </w:p>
          <w:p>
            <w:pPr>
              <w:pStyle w:val="2"/>
              <w:spacing w:line="560" w:lineRule="exact"/>
              <w:rPr>
                <w:color w:val="auto"/>
              </w:rPr>
            </w:pPr>
            <w:r>
              <w:t>2</w:t>
            </w:r>
            <w:r>
              <w:rPr>
                <w:rFonts w:hint="eastAsia"/>
              </w:rPr>
              <w:t>、提供医疗设备信息化管理软件，有资产管理查询、扫码报修、维修费用审批、医疗设备效益分析、风险评估、设备巡检和保养功能，手机端可查看效益分析概况（提供各功能证明材料）</w:t>
            </w:r>
            <w:r>
              <w:rPr>
                <w:rFonts w:hint="eastAsia"/>
                <w:color w:val="auto"/>
              </w:rPr>
              <w:t>。数据储存于医院服务器。配合医院完成系统安装及正常使用。</w:t>
            </w:r>
          </w:p>
          <w:p>
            <w:pPr>
              <w:spacing w:line="560" w:lineRule="exact"/>
              <w:outlineLvl w:val="0"/>
              <w:rPr>
                <w:color w:val="auto"/>
              </w:rPr>
            </w:pPr>
            <w:bookmarkStart w:id="10" w:name="_Toc14969"/>
            <w:r>
              <w:rPr>
                <w:rFonts w:hint="eastAsia"/>
                <w:color w:val="auto"/>
              </w:rPr>
              <w:t>3、协助医院</w:t>
            </w:r>
            <w:r>
              <w:rPr>
                <w:rFonts w:hint="eastAsia"/>
                <w:color w:val="auto"/>
                <w:lang w:eastAsia="zh-CN"/>
              </w:rPr>
              <w:t>医学装备科</w:t>
            </w:r>
            <w:r>
              <w:rPr>
                <w:rFonts w:hint="eastAsia"/>
                <w:color w:val="auto"/>
              </w:rPr>
              <w:t>人员以科室为单位，对每台设备信息、使用状况进行重新排查、做实物与数据对照盘点，整理及完善设备的型号、编号、生产日期、厂家、产地等相关资料。</w:t>
            </w:r>
            <w:bookmarkEnd w:id="10"/>
          </w:p>
          <w:p>
            <w:pPr>
              <w:spacing w:line="560" w:lineRule="exact"/>
              <w:outlineLvl w:val="0"/>
              <w:rPr>
                <w:color w:val="auto"/>
              </w:rPr>
            </w:pPr>
            <w:bookmarkStart w:id="11" w:name="_Toc31620"/>
            <w:r>
              <w:rPr>
                <w:color w:val="auto"/>
              </w:rPr>
              <w:t>4</w:t>
            </w:r>
            <w:r>
              <w:rPr>
                <w:rFonts w:hint="eastAsia"/>
                <w:color w:val="auto"/>
              </w:rPr>
              <w:t>、协助医院按国家相关监管部门要求进行建立设备档案，建档资料包括但不限于以下资料：</w:t>
            </w:r>
            <w:bookmarkEnd w:id="11"/>
          </w:p>
          <w:p>
            <w:pPr>
              <w:spacing w:line="400" w:lineRule="exact"/>
              <w:rPr>
                <w:color w:val="auto"/>
              </w:rPr>
            </w:pPr>
            <w:bookmarkStart w:id="12" w:name="_Toc32607"/>
            <w:r>
              <w:rPr>
                <w:rFonts w:hint="eastAsia"/>
                <w:color w:val="auto"/>
              </w:rPr>
              <w:t>（1）合同及产品资质证书</w:t>
            </w:r>
          </w:p>
          <w:p>
            <w:pPr>
              <w:spacing w:line="400" w:lineRule="exact"/>
              <w:rPr>
                <w:color w:val="auto"/>
              </w:rPr>
            </w:pPr>
            <w:r>
              <w:rPr>
                <w:rFonts w:hint="eastAsia"/>
                <w:color w:val="auto"/>
              </w:rPr>
              <w:t>（2）医疗设备培训签到表</w:t>
            </w:r>
          </w:p>
          <w:p>
            <w:pPr>
              <w:spacing w:line="400" w:lineRule="exact"/>
              <w:rPr>
                <w:color w:val="auto"/>
              </w:rPr>
            </w:pPr>
            <w:r>
              <w:rPr>
                <w:rFonts w:hint="eastAsia"/>
                <w:color w:val="auto"/>
              </w:rPr>
              <w:t>（3）医疗设备验收表</w:t>
            </w:r>
          </w:p>
          <w:p>
            <w:pPr>
              <w:spacing w:line="400" w:lineRule="exact"/>
              <w:rPr>
                <w:color w:val="auto"/>
              </w:rPr>
            </w:pPr>
            <w:r>
              <w:rPr>
                <w:rFonts w:hint="eastAsia"/>
                <w:color w:val="auto"/>
              </w:rPr>
              <w:t>（4）医疗设备操作规程</w:t>
            </w:r>
          </w:p>
          <w:p>
            <w:pPr>
              <w:spacing w:line="400" w:lineRule="exact"/>
              <w:rPr>
                <w:color w:val="auto"/>
              </w:rPr>
            </w:pPr>
            <w:r>
              <w:rPr>
                <w:rFonts w:hint="eastAsia"/>
                <w:color w:val="auto"/>
              </w:rPr>
              <w:t>（5）供应商授权资质证书</w:t>
            </w:r>
          </w:p>
          <w:p>
            <w:pPr>
              <w:spacing w:line="400" w:lineRule="exact"/>
              <w:rPr>
                <w:color w:val="auto"/>
              </w:rPr>
            </w:pPr>
            <w:r>
              <w:rPr>
                <w:rFonts w:hint="eastAsia"/>
                <w:color w:val="auto"/>
              </w:rPr>
              <w:t>（6）其他配套材料</w:t>
            </w:r>
          </w:p>
          <w:p>
            <w:pPr>
              <w:spacing w:line="360" w:lineRule="auto"/>
              <w:outlineLvl w:val="0"/>
              <w:rPr>
                <w:color w:val="auto"/>
              </w:rPr>
            </w:pPr>
            <w:r>
              <w:rPr>
                <w:color w:val="auto"/>
              </w:rPr>
              <w:t>5</w:t>
            </w:r>
            <w:r>
              <w:rPr>
                <w:rFonts w:hint="eastAsia"/>
                <w:color w:val="auto"/>
              </w:rPr>
              <w:t>、整理医院近三年的维保、维修、计量等相关资料。</w:t>
            </w:r>
            <w:bookmarkEnd w:id="12"/>
          </w:p>
          <w:p>
            <w:pPr>
              <w:spacing w:line="360" w:lineRule="auto"/>
              <w:outlineLvl w:val="0"/>
              <w:rPr>
                <w:color w:val="auto"/>
              </w:rPr>
            </w:pPr>
            <w:bookmarkStart w:id="13" w:name="_Toc26435"/>
            <w:r>
              <w:rPr>
                <w:color w:val="auto"/>
              </w:rPr>
              <w:t>6</w:t>
            </w:r>
            <w:r>
              <w:rPr>
                <w:rFonts w:hint="eastAsia"/>
                <w:color w:val="auto"/>
              </w:rPr>
              <w:t>、协助医院完成设备的一级、二级、三级保养。</w:t>
            </w:r>
            <w:bookmarkEnd w:id="13"/>
          </w:p>
          <w:p>
            <w:pPr>
              <w:spacing w:line="360" w:lineRule="auto"/>
              <w:outlineLvl w:val="0"/>
              <w:rPr>
                <w:color w:val="auto"/>
              </w:rPr>
            </w:pPr>
            <w:bookmarkStart w:id="14" w:name="_Toc17184"/>
            <w:r>
              <w:rPr>
                <w:rFonts w:hint="eastAsia"/>
                <w:color w:val="auto"/>
              </w:rPr>
              <w:t>医院医疗设备预防性维护通常由三级维护保养模式实施完成，俗称为三级保养体系，即一级保养、二级保养和三级保养，各级维护保养周期、内容及实施要求如下:</w:t>
            </w:r>
            <w:bookmarkEnd w:id="14"/>
          </w:p>
          <w:p>
            <w:pPr>
              <w:spacing w:line="360" w:lineRule="auto"/>
              <w:outlineLvl w:val="0"/>
              <w:rPr>
                <w:color w:val="auto"/>
              </w:rPr>
            </w:pPr>
            <w:bookmarkStart w:id="15" w:name="_Toc14107"/>
            <w:r>
              <w:rPr>
                <w:rFonts w:hint="eastAsia"/>
                <w:color w:val="auto"/>
              </w:rPr>
              <w:t>（1）日常一级保养——临床科室</w:t>
            </w:r>
            <w:bookmarkEnd w:id="15"/>
          </w:p>
          <w:p>
            <w:pPr>
              <w:spacing w:line="360" w:lineRule="auto"/>
              <w:outlineLvl w:val="0"/>
              <w:rPr>
                <w:color w:val="auto"/>
              </w:rPr>
            </w:pPr>
            <w:bookmarkStart w:id="16" w:name="_Toc15850"/>
            <w:r>
              <w:rPr>
                <w:rFonts w:hint="eastAsia"/>
                <w:color w:val="auto"/>
              </w:rPr>
              <w:t>内容主要包括对设备进行除尘、清洁、消毒和基本参数校正。这项工作是设备预防性维护工作的基础，应由临床科室设备操作管理人员完成，一般每天进行，或至少每周应进行1 次。协助</w:t>
            </w:r>
            <w:r>
              <w:rPr>
                <w:rFonts w:hint="eastAsia"/>
                <w:color w:val="auto"/>
                <w:lang w:eastAsia="zh-CN"/>
              </w:rPr>
              <w:t>医学装备科</w:t>
            </w:r>
            <w:r>
              <w:rPr>
                <w:rFonts w:hint="eastAsia"/>
                <w:color w:val="auto"/>
              </w:rPr>
              <w:t>指导使用科室设备操作管理人员掌握一级保养技能，并对日常保养记录定期检查。</w:t>
            </w:r>
            <w:bookmarkEnd w:id="16"/>
          </w:p>
          <w:p>
            <w:pPr>
              <w:spacing w:line="360" w:lineRule="auto"/>
              <w:outlineLvl w:val="0"/>
              <w:rPr>
                <w:color w:val="auto"/>
              </w:rPr>
            </w:pPr>
            <w:bookmarkStart w:id="17" w:name="_Toc21738"/>
            <w:r>
              <w:rPr>
                <w:rFonts w:hint="eastAsia"/>
                <w:color w:val="auto"/>
              </w:rPr>
              <w:t>（2）二级保养——成交人派驻人员及</w:t>
            </w:r>
            <w:r>
              <w:rPr>
                <w:rFonts w:hint="eastAsia"/>
                <w:color w:val="auto"/>
                <w:lang w:eastAsia="zh-CN"/>
              </w:rPr>
              <w:t>医学装备科</w:t>
            </w:r>
            <w:r>
              <w:rPr>
                <w:rFonts w:hint="eastAsia"/>
                <w:color w:val="auto"/>
              </w:rPr>
              <w:t>工程师</w:t>
            </w:r>
            <w:bookmarkEnd w:id="17"/>
          </w:p>
          <w:p>
            <w:pPr>
              <w:spacing w:line="360" w:lineRule="auto"/>
              <w:outlineLvl w:val="0"/>
              <w:rPr>
                <w:color w:val="auto"/>
              </w:rPr>
            </w:pPr>
            <w:bookmarkStart w:id="18" w:name="_Toc21139"/>
            <w:r>
              <w:rPr>
                <w:rFonts w:hint="eastAsia"/>
                <w:color w:val="auto"/>
              </w:rPr>
              <w:t>预防性保养周期：</w:t>
            </w:r>
            <w:bookmarkEnd w:id="18"/>
          </w:p>
          <w:p>
            <w:pPr>
              <w:spacing w:line="360" w:lineRule="auto"/>
              <w:outlineLvl w:val="0"/>
              <w:rPr>
                <w:color w:val="auto"/>
              </w:rPr>
            </w:pPr>
            <w:bookmarkStart w:id="19" w:name="_Toc714"/>
            <w:r>
              <w:rPr>
                <w:rFonts w:hint="eastAsia"/>
                <w:color w:val="auto"/>
              </w:rPr>
              <w:t>三类医疗设备预防性保养周期：每年两次；</w:t>
            </w:r>
            <w:bookmarkEnd w:id="19"/>
          </w:p>
          <w:p>
            <w:pPr>
              <w:spacing w:line="360" w:lineRule="auto"/>
              <w:outlineLvl w:val="0"/>
              <w:rPr>
                <w:color w:val="auto"/>
              </w:rPr>
            </w:pPr>
            <w:bookmarkStart w:id="20" w:name="_Toc25348"/>
            <w:r>
              <w:rPr>
                <w:rFonts w:hint="eastAsia"/>
                <w:color w:val="auto"/>
              </w:rPr>
              <w:t>二类医疗设备预防性保养周期：每年一次；</w:t>
            </w:r>
            <w:bookmarkEnd w:id="20"/>
          </w:p>
          <w:p>
            <w:pPr>
              <w:spacing w:line="360" w:lineRule="auto"/>
              <w:outlineLvl w:val="0"/>
              <w:rPr>
                <w:color w:val="auto"/>
              </w:rPr>
            </w:pPr>
            <w:bookmarkStart w:id="21" w:name="_Toc27241"/>
            <w:r>
              <w:rPr>
                <w:rFonts w:hint="eastAsia"/>
                <w:color w:val="auto"/>
              </w:rPr>
              <w:t>一类医疗设备预防性保养周期：每年一次 ；</w:t>
            </w:r>
            <w:bookmarkEnd w:id="21"/>
          </w:p>
          <w:p>
            <w:pPr>
              <w:spacing w:line="360" w:lineRule="auto"/>
              <w:outlineLvl w:val="0"/>
              <w:rPr>
                <w:color w:val="auto"/>
              </w:rPr>
            </w:pPr>
            <w:bookmarkStart w:id="22" w:name="_Toc11248"/>
            <w:r>
              <w:rPr>
                <w:rFonts w:hint="eastAsia"/>
                <w:color w:val="auto"/>
              </w:rPr>
              <w:t>根据设备的性能要求，参照使用说明书或维护手册，对设备消耗性材料进行定期更换，以及对容易发生故障的部件进行定期检查。这项工作由成交人派驻人员及</w:t>
            </w:r>
            <w:r>
              <w:rPr>
                <w:rFonts w:hint="eastAsia"/>
                <w:color w:val="auto"/>
                <w:lang w:eastAsia="zh-CN"/>
              </w:rPr>
              <w:t>医学装备科</w:t>
            </w:r>
            <w:r>
              <w:rPr>
                <w:rFonts w:hint="eastAsia"/>
                <w:color w:val="auto"/>
              </w:rPr>
              <w:t>工程师完成。</w:t>
            </w:r>
            <w:bookmarkEnd w:id="22"/>
          </w:p>
          <w:p>
            <w:pPr>
              <w:spacing w:line="360" w:lineRule="auto"/>
              <w:outlineLvl w:val="0"/>
              <w:rPr>
                <w:color w:val="auto"/>
              </w:rPr>
            </w:pPr>
            <w:bookmarkStart w:id="23" w:name="_Toc12391"/>
            <w:r>
              <w:rPr>
                <w:rFonts w:hint="eastAsia"/>
                <w:color w:val="auto"/>
              </w:rPr>
              <w:t>（3）三级保养——授权工程师</w:t>
            </w:r>
            <w:bookmarkEnd w:id="23"/>
            <w:r>
              <w:rPr>
                <w:rFonts w:hint="eastAsia"/>
                <w:color w:val="auto"/>
              </w:rPr>
              <w:t xml:space="preserve"> </w:t>
            </w:r>
          </w:p>
          <w:p>
            <w:pPr>
              <w:spacing w:line="360" w:lineRule="auto"/>
              <w:outlineLvl w:val="0"/>
              <w:rPr>
                <w:color w:val="FF0000"/>
              </w:rPr>
            </w:pPr>
            <w:bookmarkStart w:id="24" w:name="_Toc5962"/>
            <w:r>
              <w:rPr>
                <w:rFonts w:hint="eastAsia"/>
                <w:color w:val="auto"/>
              </w:rPr>
              <w:t>是指按计划定期对设备进行全面的功能检查、电气安全检查、性能测试和校准，以及对设备易损部件进行更换和故障重点部件进行拆卸检查，通过更换、调试、加油、自检以及安全防护等技术手段，使设备符合出厂时的技术参数和性能指标要求。该项工作一般由授权工程师或厂方工程师完成。成交人有相应授权工程师的，则安排授权工程师完成，成交人没有的相应授权工程师的，则由医院邀请厂方授权工程师完成，成交人派驻人员与</w:t>
            </w:r>
            <w:r>
              <w:rPr>
                <w:rFonts w:hint="eastAsia"/>
                <w:color w:val="auto"/>
                <w:lang w:eastAsia="zh-CN"/>
              </w:rPr>
              <w:t>医学装备科</w:t>
            </w:r>
            <w:r>
              <w:rPr>
                <w:rFonts w:hint="eastAsia"/>
                <w:color w:val="auto"/>
              </w:rPr>
              <w:t>工程师负责对此项保养工作进行管理和配合。</w:t>
            </w:r>
            <w:bookmarkEnd w:id="24"/>
          </w:p>
          <w:p>
            <w:pPr>
              <w:spacing w:line="360" w:lineRule="auto"/>
              <w:outlineLvl w:val="0"/>
            </w:pPr>
            <w:bookmarkStart w:id="25" w:name="_Toc22392"/>
            <w:r>
              <w:t>7</w:t>
            </w:r>
            <w:r>
              <w:rPr>
                <w:rFonts w:hint="eastAsia"/>
              </w:rPr>
              <w:t>、建立质量安全监测机制：生命支持类医疗设备电器安全检查每年度一次，每次长假前进行必要安全巡查。</w:t>
            </w:r>
            <w:bookmarkEnd w:id="25"/>
          </w:p>
          <w:p>
            <w:pPr>
              <w:spacing w:line="360" w:lineRule="auto"/>
              <w:outlineLvl w:val="0"/>
            </w:pPr>
            <w:bookmarkStart w:id="26" w:name="_Toc862"/>
            <w:r>
              <w:t>8</w:t>
            </w:r>
            <w:r>
              <w:rPr>
                <w:rFonts w:hint="eastAsia"/>
              </w:rPr>
              <w:t>、提</w:t>
            </w:r>
            <w:bookmarkEnd w:id="26"/>
            <w:bookmarkStart w:id="27" w:name="_Toc6545"/>
            <w:r>
              <w:rPr>
                <w:rFonts w:hint="eastAsia"/>
              </w:rPr>
              <w:t>供5天×8小时处理医疗设备常见故障的排除、维修响应，派驻人员具备初级故障判断和维修能力，并能协助</w:t>
            </w:r>
            <w:r>
              <w:rPr>
                <w:rFonts w:hint="eastAsia"/>
                <w:lang w:eastAsia="zh-CN"/>
              </w:rPr>
              <w:t>医学装备科</w:t>
            </w:r>
            <w:r>
              <w:rPr>
                <w:rFonts w:hint="eastAsia"/>
              </w:rPr>
              <w:t>完成相关维修流程。科室报修后，能及时前去现场检查、沟通，正常班响应到达现场时间小于30分钟。</w:t>
            </w:r>
          </w:p>
          <w:p>
            <w:pPr>
              <w:spacing w:line="360" w:lineRule="auto"/>
              <w:outlineLvl w:val="0"/>
            </w:pPr>
            <w:r>
              <w:t>9</w:t>
            </w:r>
            <w:r>
              <w:rPr>
                <w:rFonts w:hint="eastAsia"/>
              </w:rPr>
              <w:t>、协助医院</w:t>
            </w:r>
            <w:r>
              <w:rPr>
                <w:rFonts w:hint="eastAsia"/>
                <w:lang w:eastAsia="zh-CN"/>
              </w:rPr>
              <w:t>医学装备科</w:t>
            </w:r>
            <w:r>
              <w:rPr>
                <w:rFonts w:hint="eastAsia"/>
              </w:rPr>
              <w:t>对</w:t>
            </w:r>
            <w:r>
              <w:rPr>
                <w:rFonts w:hint="eastAsia"/>
                <w:lang w:eastAsia="zh-CN"/>
              </w:rPr>
              <w:t>医学装备科</w:t>
            </w:r>
            <w:r>
              <w:rPr>
                <w:rFonts w:hint="eastAsia"/>
              </w:rPr>
              <w:t>工程师及临床科室设备操作管理人员进行必要的技术培训。</w:t>
            </w:r>
            <w:bookmarkEnd w:id="27"/>
          </w:p>
          <w:p>
            <w:pPr>
              <w:spacing w:line="360" w:lineRule="auto"/>
              <w:outlineLvl w:val="0"/>
            </w:pPr>
            <w:bookmarkStart w:id="28" w:name="_Toc11189"/>
            <w:r>
              <w:t>10</w:t>
            </w:r>
            <w:r>
              <w:rPr>
                <w:rFonts w:hint="eastAsia"/>
              </w:rPr>
              <w:t>、提供医院</w:t>
            </w:r>
            <w:r>
              <w:rPr>
                <w:rFonts w:hint="eastAsia"/>
                <w:lang w:eastAsia="zh-CN"/>
              </w:rPr>
              <w:t>医学装备科</w:t>
            </w:r>
            <w:r>
              <w:rPr>
                <w:rFonts w:hint="eastAsia"/>
              </w:rPr>
              <w:t>需要三甲评审的相关服务。</w:t>
            </w:r>
            <w:bookmarkEnd w:id="28"/>
          </w:p>
          <w:p>
            <w:pPr>
              <w:spacing w:line="360" w:lineRule="auto"/>
              <w:outlineLvl w:val="0"/>
            </w:pPr>
            <w:bookmarkStart w:id="29" w:name="_Toc20413"/>
            <w:r>
              <w:rPr>
                <w:rFonts w:hint="eastAsia"/>
              </w:rPr>
              <w:t>1</w:t>
            </w:r>
            <w:r>
              <w:t>1</w:t>
            </w:r>
            <w:r>
              <w:rPr>
                <w:rFonts w:hint="eastAsia"/>
              </w:rPr>
              <w:t>、对于需设备厂家或授权工程师提供的设备维修维护服务或专业配件，提供相应的备选方案，供医院比较选择。</w:t>
            </w:r>
            <w:bookmarkEnd w:id="29"/>
          </w:p>
          <w:p>
            <w:pPr>
              <w:pStyle w:val="21"/>
              <w:tabs>
                <w:tab w:val="left" w:pos="284"/>
              </w:tabs>
              <w:spacing w:line="360" w:lineRule="auto"/>
              <w:ind w:firstLine="0" w:firstLineChars="0"/>
            </w:pPr>
            <w:r>
              <w:rPr>
                <w:rFonts w:hint="eastAsia"/>
              </w:rPr>
              <w:t>1</w:t>
            </w:r>
            <w:r>
              <w:t>2</w:t>
            </w:r>
            <w:r>
              <w:rPr>
                <w:rFonts w:hint="eastAsia"/>
              </w:rPr>
              <w:t>.提供临床科室质量安全管理绩效考评细则以及对临床科室进行考核。</w:t>
            </w:r>
          </w:p>
          <w:p>
            <w:pPr>
              <w:spacing w:line="360" w:lineRule="auto"/>
              <w:outlineLvl w:val="0"/>
            </w:pPr>
            <w:bookmarkStart w:id="30" w:name="_Toc2615"/>
            <w:r>
              <w:rPr>
                <w:rFonts w:hint="eastAsia"/>
              </w:rPr>
              <w:t>1</w:t>
            </w:r>
            <w:r>
              <w:t>3</w:t>
            </w:r>
            <w:r>
              <w:rPr>
                <w:rFonts w:hint="eastAsia"/>
              </w:rPr>
              <w:t>、派驻人员遵守医院各项管理制度，接受医院</w:t>
            </w:r>
            <w:r>
              <w:rPr>
                <w:rFonts w:hint="eastAsia"/>
                <w:lang w:eastAsia="zh-CN"/>
              </w:rPr>
              <w:t>医学装备科</w:t>
            </w:r>
            <w:r>
              <w:rPr>
                <w:rFonts w:hint="eastAsia"/>
              </w:rPr>
              <w:t>的管理和工作安排。根据医院要求提供其他相关服务。</w:t>
            </w:r>
            <w:bookmarkEnd w:id="30"/>
          </w:p>
          <w:p>
            <w:pPr>
              <w:spacing w:line="400" w:lineRule="exact"/>
            </w:pPr>
            <w:r>
              <w:rPr>
                <w:rFonts w:hint="eastAsia"/>
              </w:rPr>
              <w:t>1</w:t>
            </w:r>
            <w:r>
              <w:t>4</w:t>
            </w:r>
            <w:r>
              <w:rPr>
                <w:rFonts w:hint="eastAsia"/>
              </w:rPr>
              <w:t>、签订服务合同后，48小时之内开展项目实施工作。</w:t>
            </w:r>
          </w:p>
          <w:p>
            <w:pPr>
              <w:pStyle w:val="24"/>
              <w:rPr>
                <w:rFonts w:ascii="Times New Roman" w:hAnsi="Times New Roman" w:cs="Times New Roman"/>
                <w:b/>
                <w:bCs/>
                <w:color w:val="auto"/>
                <w:kern w:val="2"/>
                <w:sz w:val="21"/>
              </w:rPr>
            </w:pPr>
            <w:r>
              <w:rPr>
                <w:rFonts w:hint="eastAsia" w:ascii="Times New Roman" w:hAnsi="Times New Roman" w:cs="Times New Roman"/>
                <w:b/>
                <w:bCs/>
                <w:color w:val="auto"/>
                <w:kern w:val="2"/>
                <w:sz w:val="21"/>
              </w:rPr>
              <w:t>三、其他要求：</w:t>
            </w:r>
          </w:p>
          <w:p>
            <w:pPr>
              <w:spacing w:line="360" w:lineRule="auto"/>
              <w:outlineLvl w:val="0"/>
            </w:pPr>
            <w:r>
              <w:rPr>
                <w:rFonts w:hint="eastAsia"/>
              </w:rPr>
              <w:t>负责全院一定数量设备的维修工作，入驻工程师必须服从</w:t>
            </w:r>
            <w:r>
              <w:rPr>
                <w:rFonts w:hint="eastAsia"/>
                <w:lang w:val="en-US" w:eastAsia="zh-CN"/>
              </w:rPr>
              <w:t>医学装备</w:t>
            </w:r>
            <w:r>
              <w:rPr>
                <w:rFonts w:hint="eastAsia"/>
              </w:rPr>
              <w:t>科的管理及指派的有关设备管理、维护、保养、维修等工作。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9249" w:type="dxa"/>
            <w:gridSpan w:val="3"/>
            <w:tcBorders>
              <w:top w:val="single" w:color="auto" w:sz="4" w:space="0"/>
              <w:left w:val="single" w:color="auto" w:sz="4" w:space="0"/>
              <w:bottom w:val="single" w:color="auto" w:sz="4" w:space="0"/>
              <w:right w:val="single" w:color="auto" w:sz="4" w:space="0"/>
            </w:tcBorders>
            <w:vAlign w:val="center"/>
          </w:tcPr>
          <w:p>
            <w:pPr>
              <w:tabs>
                <w:tab w:val="left" w:pos="180"/>
                <w:tab w:val="left" w:pos="1620"/>
              </w:tabs>
              <w:spacing w:line="360" w:lineRule="exact"/>
              <w:jc w:val="left"/>
              <w:rPr>
                <w:rFonts w:hint="default" w:ascii="宋体" w:hAnsi="宋体" w:eastAsia="宋体" w:cs="宋体"/>
                <w:szCs w:val="21"/>
                <w:lang w:val="en-US" w:eastAsia="zh-CN"/>
              </w:rPr>
            </w:pPr>
            <w:r>
              <w:rPr>
                <w:rFonts w:hint="eastAsia" w:ascii="宋体" w:hAnsi="宋体" w:cs="宋体"/>
                <w:szCs w:val="21"/>
                <w:lang w:val="en-US" w:eastAsia="zh-CN"/>
              </w:rPr>
              <w:t>其他要求：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9249" w:type="dxa"/>
            <w:gridSpan w:val="3"/>
            <w:tcBorders>
              <w:top w:val="single" w:color="auto" w:sz="4" w:space="0"/>
              <w:left w:val="single" w:color="auto" w:sz="4" w:space="0"/>
              <w:bottom w:val="single" w:color="auto" w:sz="4" w:space="0"/>
              <w:right w:val="single" w:color="auto" w:sz="4" w:space="0"/>
            </w:tcBorders>
            <w:vAlign w:val="center"/>
          </w:tcPr>
          <w:p>
            <w:pPr>
              <w:tabs>
                <w:tab w:val="left" w:pos="180"/>
                <w:tab w:val="left" w:pos="1620"/>
              </w:tabs>
              <w:spacing w:line="360" w:lineRule="exact"/>
              <w:jc w:val="left"/>
              <w:rPr>
                <w:rFonts w:ascii="宋体" w:hAnsi="宋体" w:cs="宋体"/>
                <w:szCs w:val="21"/>
              </w:rPr>
            </w:pPr>
            <w:r>
              <w:rPr>
                <w:rFonts w:hint="eastAsia" w:ascii="宋体" w:hAnsi="宋体" w:cs="宋体"/>
                <w:szCs w:val="21"/>
                <w:lang w:val="en-US" w:eastAsia="zh-CN"/>
              </w:rPr>
              <w:t>1.服务期限：</w:t>
            </w:r>
            <w:r>
              <w:rPr>
                <w:rFonts w:hint="eastAsia" w:ascii="宋体" w:hAnsi="宋体" w:cs="宋体"/>
                <w:szCs w:val="21"/>
              </w:rPr>
              <w:t>自合同签订之日起2年。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924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宋体" w:hAnsi="宋体" w:eastAsia="宋体" w:cs="宋体"/>
                <w:b/>
                <w:szCs w:val="21"/>
                <w:lang w:val="en-US" w:eastAsia="zh-CN"/>
              </w:rPr>
            </w:pPr>
            <w:r>
              <w:rPr>
                <w:rFonts w:hint="eastAsia" w:ascii="宋体" w:hAnsi="宋体" w:cs="宋体"/>
                <w:szCs w:val="21"/>
                <w:lang w:val="en-US" w:eastAsia="zh-CN"/>
              </w:rPr>
              <w:t>2.服务地点：北流市人民医院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jc w:val="center"/>
        </w:trPr>
        <w:tc>
          <w:tcPr>
            <w:tcW w:w="9249"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Cs w:val="21"/>
              </w:rPr>
            </w:pPr>
            <w:r>
              <w:rPr>
                <w:rFonts w:hint="eastAsia" w:ascii="宋体" w:hAnsi="宋体" w:cs="宋体"/>
                <w:szCs w:val="21"/>
                <w:lang w:val="en-US" w:eastAsia="zh-CN"/>
              </w:rPr>
              <w:t>3.</w:t>
            </w:r>
            <w:r>
              <w:rPr>
                <w:rFonts w:hint="eastAsia" w:ascii="宋体" w:hAnsi="宋体" w:cs="宋体"/>
                <w:szCs w:val="21"/>
              </w:rPr>
              <w:t>包括：</w:t>
            </w:r>
          </w:p>
          <w:p>
            <w:pPr>
              <w:spacing w:line="360" w:lineRule="auto"/>
              <w:rPr>
                <w:rFonts w:ascii="宋体" w:hAnsi="宋体" w:cs="宋体"/>
                <w:szCs w:val="21"/>
              </w:rPr>
            </w:pPr>
            <w:r>
              <w:rPr>
                <w:rFonts w:hint="eastAsia" w:ascii="宋体" w:hAnsi="宋体" w:cs="宋体"/>
                <w:szCs w:val="21"/>
              </w:rPr>
              <w:t>（1）服务的价格：包括人工费用、管理服务成本；</w:t>
            </w:r>
          </w:p>
          <w:p>
            <w:pPr>
              <w:spacing w:line="360" w:lineRule="auto"/>
              <w:rPr>
                <w:rFonts w:ascii="宋体" w:hAnsi="宋体" w:cs="宋体"/>
                <w:szCs w:val="21"/>
              </w:rPr>
            </w:pPr>
            <w:r>
              <w:rPr>
                <w:rFonts w:hint="eastAsia" w:ascii="宋体" w:hAnsi="宋体" w:cs="宋体"/>
                <w:szCs w:val="21"/>
              </w:rPr>
              <w:t>（2）服务的标准附件、专用工具使用的费用。</w:t>
            </w:r>
          </w:p>
          <w:p>
            <w:pPr>
              <w:spacing w:line="360" w:lineRule="auto"/>
              <w:rPr>
                <w:rFonts w:ascii="宋体" w:hAnsi="宋体" w:cs="宋体"/>
                <w:szCs w:val="21"/>
              </w:rPr>
            </w:pPr>
            <w:r>
              <w:rPr>
                <w:rFonts w:hint="eastAsia" w:ascii="宋体" w:hAnsi="宋体" w:cs="宋体"/>
                <w:szCs w:val="21"/>
              </w:rPr>
              <w:t>（3）运输、装卸、调试、培训、技术支持、售后服务费。</w:t>
            </w:r>
          </w:p>
          <w:p>
            <w:pPr>
              <w:spacing w:line="360" w:lineRule="auto"/>
              <w:rPr>
                <w:rFonts w:ascii="宋体" w:hAnsi="宋体" w:cs="宋体"/>
                <w:szCs w:val="21"/>
              </w:rPr>
            </w:pPr>
            <w:r>
              <w:rPr>
                <w:rFonts w:hint="eastAsia" w:ascii="宋体" w:hAnsi="宋体" w:cs="宋体"/>
                <w:szCs w:val="21"/>
              </w:rPr>
              <w:t>（4）招标代理服务费、保险费和各项税金。</w:t>
            </w:r>
          </w:p>
          <w:p>
            <w:pPr>
              <w:spacing w:line="360" w:lineRule="auto"/>
              <w:rPr>
                <w:rFonts w:ascii="宋体" w:hAnsi="宋体" w:cs="宋体"/>
                <w:color w:val="FF0000"/>
                <w:szCs w:val="21"/>
              </w:rPr>
            </w:pPr>
            <w:r>
              <w:rPr>
                <w:rFonts w:hint="eastAsia" w:ascii="宋体" w:hAnsi="宋体" w:cs="宋体"/>
                <w:szCs w:val="21"/>
              </w:rPr>
              <w:t>（5）供应商应对本项目所有服务内容进行总承包报价，采购人不再支付任何费用。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9249"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36363D"/>
                <w:szCs w:val="21"/>
              </w:rPr>
            </w:pPr>
            <w:r>
              <w:rPr>
                <w:rFonts w:hint="eastAsia" w:ascii="宋体" w:hAnsi="宋体" w:cs="宋体"/>
                <w:color w:val="36363D"/>
                <w:szCs w:val="21"/>
              </w:rPr>
              <w:t>1、服务公司派驻人员如出现重大工作失误，造成医院经济或其他损失，院方有权追究服务公司经济责任并终止合同。</w:t>
            </w:r>
          </w:p>
          <w:p>
            <w:pPr>
              <w:spacing w:line="400" w:lineRule="exact"/>
              <w:jc w:val="left"/>
              <w:rPr>
                <w:rFonts w:ascii="宋体" w:hAnsi="宋体" w:cs="宋体"/>
                <w:color w:val="36363D"/>
                <w:szCs w:val="21"/>
              </w:rPr>
            </w:pPr>
            <w:r>
              <w:rPr>
                <w:rFonts w:hint="eastAsia" w:ascii="宋体" w:hAnsi="宋体" w:cs="宋体"/>
                <w:color w:val="36363D"/>
                <w:szCs w:val="21"/>
              </w:rPr>
              <w:t>2、若乙方有违约行为或院方根据合同条款中止外包合同或合同结束后不再续期，乙方应在接到院方正式通知 15日内，将医院所有医疗设备资产管理账目和质量安全工作记录（含电子和纸质信息）妥善整理后移交院方。</w:t>
            </w:r>
          </w:p>
          <w:p>
            <w:pPr>
              <w:spacing w:line="400" w:lineRule="exact"/>
              <w:jc w:val="left"/>
              <w:rPr>
                <w:rFonts w:ascii="宋体" w:hAnsi="宋体" w:cs="宋体"/>
                <w:color w:val="36363D"/>
                <w:szCs w:val="21"/>
              </w:rPr>
            </w:pPr>
            <w:r>
              <w:rPr>
                <w:rFonts w:hint="eastAsia" w:ascii="宋体" w:hAnsi="宋体" w:cs="宋体"/>
                <w:color w:val="36363D"/>
                <w:szCs w:val="21"/>
              </w:rPr>
              <w:t>3、乙方如单方提前终止合同，应至少提前 2 个月时间通知院方。</w:t>
            </w:r>
          </w:p>
          <w:p>
            <w:pPr>
              <w:spacing w:line="400" w:lineRule="exact"/>
              <w:jc w:val="left"/>
              <w:rPr>
                <w:rFonts w:ascii="宋体" w:hAnsi="宋体" w:cs="宋体"/>
                <w:color w:val="36363D"/>
                <w:szCs w:val="21"/>
              </w:rPr>
            </w:pPr>
            <w:r>
              <w:rPr>
                <w:rFonts w:hint="eastAsia" w:ascii="宋体" w:hAnsi="宋体" w:cs="宋体"/>
                <w:color w:val="36363D"/>
                <w:szCs w:val="21"/>
              </w:rPr>
              <w:t>4、竞标人必须在竞标文件中提供详细合格的服务方案满足采购文件的要求。</w:t>
            </w:r>
          </w:p>
          <w:p>
            <w:pPr>
              <w:spacing w:line="400" w:lineRule="exact"/>
              <w:jc w:val="left"/>
              <w:rPr>
                <w:rFonts w:ascii="宋体" w:hAnsi="宋体" w:cs="宋体"/>
                <w:color w:val="36363D"/>
                <w:szCs w:val="21"/>
              </w:rPr>
            </w:pPr>
            <w:r>
              <w:rPr>
                <w:rFonts w:hint="eastAsia" w:ascii="宋体" w:hAnsi="宋体" w:cs="宋体"/>
                <w:color w:val="36363D"/>
                <w:szCs w:val="21"/>
              </w:rPr>
              <w:t>5、知识产权保护要求：投标人应对投标内容所涉及的专利承担责任，并负责保护业主的利益不</w:t>
            </w:r>
          </w:p>
          <w:p>
            <w:pPr>
              <w:spacing w:line="400" w:lineRule="exact"/>
              <w:jc w:val="left"/>
              <w:rPr>
                <w:rFonts w:ascii="宋体" w:hAnsi="宋体" w:cs="宋体"/>
                <w:color w:val="36363D"/>
                <w:szCs w:val="21"/>
              </w:rPr>
            </w:pPr>
            <w:r>
              <w:rPr>
                <w:rFonts w:hint="eastAsia" w:ascii="宋体" w:hAnsi="宋体" w:cs="宋体"/>
                <w:color w:val="36363D"/>
                <w:szCs w:val="21"/>
              </w:rPr>
              <w:t>受任何损害。一切由于文字、商标、技术和软件专利授权引起的法律裁决、诉讼和赔偿费用均由中标人负责。所使用的设备、材料须符合国家有关标准要求。</w:t>
            </w:r>
          </w:p>
          <w:p>
            <w:pPr>
              <w:pStyle w:val="2"/>
              <w:spacing w:line="400" w:lineRule="exact"/>
              <w:rPr>
                <w:rFonts w:ascii="宋体" w:hAnsi="宋体" w:cs="宋体"/>
                <w:szCs w:val="21"/>
              </w:rPr>
            </w:pPr>
            <w:r>
              <w:rPr>
                <w:rFonts w:hint="eastAsia" w:ascii="宋体" w:hAnsi="宋体" w:cs="宋体"/>
                <w:szCs w:val="21"/>
              </w:rPr>
              <w:t>6、</w:t>
            </w:r>
            <w:r>
              <w:rPr>
                <w:rFonts w:hint="eastAsia"/>
              </w:rPr>
              <w:t>在院方办理新服务合同期间或另行寻找其他服务公司期间，成交人应按原合同工作内容继续执行服务，直至新合同或新的服务公司进驻，合同期外的服务费用参照原合同价格按实际服务时间折算支付。</w:t>
            </w: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宋体" w:hAnsi="宋体" w:cs="宋体"/>
          <w:b/>
          <w:sz w:val="32"/>
          <w:szCs w:val="32"/>
        </w:rPr>
      </w:pPr>
      <w:bookmarkStart w:id="31" w:name="_GoBack"/>
      <w:bookmarkEnd w:id="31"/>
      <w:r>
        <w:rPr>
          <w:rFonts w:hint="eastAsia" w:ascii="宋体" w:hAnsi="宋体" w:cs="宋体"/>
          <w:b/>
          <w:sz w:val="32"/>
          <w:szCs w:val="32"/>
        </w:rPr>
        <w:t>附件1：</w:t>
      </w:r>
    </w:p>
    <w:tbl>
      <w:tblPr>
        <w:tblStyle w:val="12"/>
        <w:tblpPr w:leftFromText="180" w:rightFromText="180" w:vertAnchor="page" w:horzAnchor="page" w:tblpXSpec="center" w:tblpY="2470"/>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8"/>
        <w:gridCol w:w="6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序号</w:t>
            </w:r>
          </w:p>
        </w:tc>
        <w:tc>
          <w:tcPr>
            <w:tcW w:w="3815" w:type="pct"/>
            <w:vAlign w:val="center"/>
          </w:tcPr>
          <w:p>
            <w:pPr>
              <w:spacing w:line="360" w:lineRule="auto"/>
              <w:jc w:val="center"/>
              <w:rPr>
                <w:rFonts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系统具体参数内容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一</w:t>
            </w:r>
          </w:p>
        </w:tc>
        <w:tc>
          <w:tcPr>
            <w:tcW w:w="3815" w:type="pct"/>
            <w:vAlign w:val="center"/>
          </w:tcPr>
          <w:p>
            <w:pPr>
              <w:spacing w:line="360" w:lineRule="auto"/>
              <w:jc w:val="left"/>
              <w:rPr>
                <w:rFonts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资产仓库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入库管理</w:t>
            </w:r>
          </w:p>
        </w:tc>
        <w:tc>
          <w:tcPr>
            <w:tcW w:w="3815" w:type="pct"/>
            <w:vAlign w:val="center"/>
          </w:tcPr>
          <w:p>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支持手工入库、资产入库记录查询，支持批量导出。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出库管理</w:t>
            </w:r>
          </w:p>
        </w:tc>
        <w:tc>
          <w:tcPr>
            <w:tcW w:w="3815" w:type="pct"/>
            <w:vAlign w:val="center"/>
          </w:tcPr>
          <w:p>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支持手工出库、资产出库记录查询、支持批量导出。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库存查询</w:t>
            </w:r>
          </w:p>
        </w:tc>
        <w:tc>
          <w:tcPr>
            <w:tcW w:w="3815" w:type="pct"/>
            <w:vAlign w:val="center"/>
          </w:tcPr>
          <w:p>
            <w:pPr>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资产库房库存查询。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二</w:t>
            </w:r>
          </w:p>
        </w:tc>
        <w:tc>
          <w:tcPr>
            <w:tcW w:w="3815" w:type="pct"/>
            <w:vAlign w:val="center"/>
          </w:tcPr>
          <w:p>
            <w:pPr>
              <w:spacing w:line="360" w:lineRule="auto"/>
              <w:jc w:val="left"/>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资产管理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所有资产管理</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所有固定资产分科室列表显示，可按照使用状态、使用科室、摆放位置等条件筛选显示。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账外资产管理</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账外资产分科室列表显示，可按照使用状态、使用科室、摆放位置等条件筛选显示。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账内主资产</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账内资产分科室列表显示，可按照使用状态、使用科室、摆放位置等条件筛选显示。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资产转科、调拨管理</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支持科室之间转科、调拨。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资产报废管理</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有报废流程与记录。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资产标签打印</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支持统一标签打印，粘贴到每一台设备上。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184" w:type="pct"/>
            <w:vAlign w:val="center"/>
          </w:tcPr>
          <w:p>
            <w:pPr>
              <w:spacing w:line="360" w:lineRule="auto"/>
              <w:jc w:val="center"/>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三</w:t>
            </w:r>
          </w:p>
        </w:tc>
        <w:tc>
          <w:tcPr>
            <w:tcW w:w="3815" w:type="pct"/>
            <w:vAlign w:val="center"/>
          </w:tcPr>
          <w:p>
            <w:pPr>
              <w:spacing w:line="360" w:lineRule="auto"/>
              <w:jc w:val="left"/>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维修管理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维修申请</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支持科室手机微信、手机APP扫码，或者科室PC端发起维修申请；有相关的维修单统计与费用记录。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维修台</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每项维修记录有详细的流程步骤，记录资产维修过程中的相关信息。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维修查询</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科室可通过微信端、手机APP端、平板电脑对已经报修的资产进行维修状态查询，可按维修单号对资产的维修详情、维修进度进行查询和监控，有效加快维修进程。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统计报表</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1、工程师工作量统计：系统能按工程师维修的工作量情况进行统计和分析，且能支持图形展示对比；</w:t>
            </w:r>
          </w:p>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2、维修费用统计分析：系统能按自定义条件统计和分析医院各科室、各资产的维修总费用，并能将数据同步图形进行展现对比；</w:t>
            </w:r>
          </w:p>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3、提供科室维修费用对比图，能按日期对各科室的维修总费用进行统计，并产生图表，为医院资产评估和采购提供数据支持。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四</w:t>
            </w:r>
          </w:p>
        </w:tc>
        <w:tc>
          <w:tcPr>
            <w:tcW w:w="3815" w:type="pct"/>
            <w:vAlign w:val="center"/>
          </w:tcPr>
          <w:p>
            <w:pPr>
              <w:spacing w:line="360" w:lineRule="auto"/>
              <w:jc w:val="left"/>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备件库管理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备件库管理</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支持备件入库管理、出库管理、库存查询，支持批量导出。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五</w:t>
            </w:r>
          </w:p>
        </w:tc>
        <w:tc>
          <w:tcPr>
            <w:tcW w:w="3815" w:type="pct"/>
            <w:vAlign w:val="center"/>
          </w:tcPr>
          <w:p>
            <w:pPr>
              <w:spacing w:line="360" w:lineRule="auto"/>
              <w:jc w:val="left"/>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故障库管理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pct"/>
            <w:vAlign w:val="center"/>
          </w:tcPr>
          <w:p>
            <w:pPr>
              <w:spacing w:line="360" w:lineRule="auto"/>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故障类型</w:t>
            </w:r>
          </w:p>
        </w:tc>
        <w:tc>
          <w:tcPr>
            <w:tcW w:w="3815" w:type="pct"/>
            <w:vAlign w:val="center"/>
          </w:tcPr>
          <w:p>
            <w:pPr>
              <w:spacing w:line="360" w:lineRule="auto"/>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工程师对常见的故障类型进行分类，便于对故障类型进行量化统计。</w:t>
            </w:r>
          </w:p>
        </w:tc>
      </w:tr>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jAwNmVjNjNkYWRiMDU0ZTQyZDY5ODYxOWRiMTcifQ=="/>
  </w:docVars>
  <w:rsids>
    <w:rsidRoot w:val="0064495F"/>
    <w:rsid w:val="000145C1"/>
    <w:rsid w:val="00091C00"/>
    <w:rsid w:val="000B6A15"/>
    <w:rsid w:val="00555018"/>
    <w:rsid w:val="0064495F"/>
    <w:rsid w:val="006E60B5"/>
    <w:rsid w:val="00930142"/>
    <w:rsid w:val="00934B41"/>
    <w:rsid w:val="009E3B74"/>
    <w:rsid w:val="00E1060F"/>
    <w:rsid w:val="00E67A4D"/>
    <w:rsid w:val="07FC5392"/>
    <w:rsid w:val="081272FC"/>
    <w:rsid w:val="0CE84A2D"/>
    <w:rsid w:val="0D9C676A"/>
    <w:rsid w:val="14F04485"/>
    <w:rsid w:val="173637CE"/>
    <w:rsid w:val="1B310B04"/>
    <w:rsid w:val="1BD23B8E"/>
    <w:rsid w:val="1D276A39"/>
    <w:rsid w:val="1F8463F4"/>
    <w:rsid w:val="21D1339D"/>
    <w:rsid w:val="21FB39B9"/>
    <w:rsid w:val="224E4F72"/>
    <w:rsid w:val="33853F35"/>
    <w:rsid w:val="350C4B59"/>
    <w:rsid w:val="3AAD6B7E"/>
    <w:rsid w:val="42BF1364"/>
    <w:rsid w:val="434F5A51"/>
    <w:rsid w:val="47DD6908"/>
    <w:rsid w:val="48803C07"/>
    <w:rsid w:val="4D035FCE"/>
    <w:rsid w:val="54310E9D"/>
    <w:rsid w:val="54891A20"/>
    <w:rsid w:val="55560EE0"/>
    <w:rsid w:val="56C312CD"/>
    <w:rsid w:val="58315C7B"/>
    <w:rsid w:val="5851219D"/>
    <w:rsid w:val="58C7144A"/>
    <w:rsid w:val="5F544B34"/>
    <w:rsid w:val="5FF47032"/>
    <w:rsid w:val="61D21ACA"/>
    <w:rsid w:val="627F209D"/>
    <w:rsid w:val="63011DB9"/>
    <w:rsid w:val="66BAEAEC"/>
    <w:rsid w:val="67D80AB3"/>
    <w:rsid w:val="69F02E43"/>
    <w:rsid w:val="6AC41FD2"/>
    <w:rsid w:val="75513A71"/>
    <w:rsid w:val="75B73E61"/>
    <w:rsid w:val="76EB3FF1"/>
    <w:rsid w:val="795D7A9A"/>
    <w:rsid w:val="7B78753A"/>
    <w:rsid w:val="7C9D00CE"/>
    <w:rsid w:val="7D6EDA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7"/>
    <w:qFormat/>
    <w:uiPriority w:val="0"/>
    <w:pPr>
      <w:spacing w:after="120"/>
    </w:pPr>
  </w:style>
  <w:style w:type="paragraph" w:styleId="3">
    <w:name w:val="toc 5"/>
    <w:basedOn w:val="1"/>
    <w:next w:val="1"/>
    <w:qFormat/>
    <w:uiPriority w:val="0"/>
    <w:pPr>
      <w:ind w:left="1680" w:leftChars="800"/>
    </w:pPr>
  </w:style>
  <w:style w:type="paragraph" w:styleId="4">
    <w:name w:val="Normal Indent"/>
    <w:basedOn w:val="1"/>
    <w:link w:val="15"/>
    <w:qFormat/>
    <w:uiPriority w:val="0"/>
    <w:pPr>
      <w:ind w:firstLine="420"/>
    </w:pPr>
    <w:rPr>
      <w:szCs w:val="20"/>
    </w:rPr>
  </w:style>
  <w:style w:type="paragraph" w:styleId="5">
    <w:name w:val="annotation text"/>
    <w:basedOn w:val="1"/>
    <w:link w:val="16"/>
    <w:qFormat/>
    <w:uiPriority w:val="0"/>
    <w:pPr>
      <w:jc w:val="left"/>
    </w:pPr>
  </w:style>
  <w:style w:type="paragraph" w:styleId="6">
    <w:name w:val="Body Text Indent"/>
    <w:basedOn w:val="1"/>
    <w:link w:val="18"/>
    <w:semiHidden/>
    <w:unhideWhenUsed/>
    <w:qFormat/>
    <w:uiPriority w:val="99"/>
    <w:pPr>
      <w:spacing w:after="120"/>
      <w:ind w:left="420" w:leftChars="200"/>
    </w:pPr>
  </w:style>
  <w:style w:type="paragraph" w:styleId="7">
    <w:name w:val="Plain Text"/>
    <w:basedOn w:val="1"/>
    <w:next w:val="1"/>
    <w:link w:val="23"/>
    <w:qFormat/>
    <w:uiPriority w:val="0"/>
    <w:rPr>
      <w:rFonts w:ascii="宋体" w:hAnsi="Courier New"/>
      <w:kern w:val="0"/>
      <w:sz w:val="20"/>
      <w:szCs w:val="21"/>
    </w:rPr>
  </w:style>
  <w:style w:type="paragraph" w:styleId="8">
    <w:name w:val="Balloon Text"/>
    <w:basedOn w:val="1"/>
    <w:link w:val="22"/>
    <w:semiHidden/>
    <w:unhideWhenUsed/>
    <w:qFormat/>
    <w:uiPriority w:val="99"/>
    <w:rPr>
      <w:sz w:val="18"/>
      <w:szCs w:val="18"/>
    </w:rPr>
  </w:style>
  <w:style w:type="paragraph" w:styleId="9">
    <w:name w:val="footer"/>
    <w:basedOn w:val="1"/>
    <w:link w:val="26"/>
    <w:semiHidden/>
    <w:unhideWhenUsed/>
    <w:qFormat/>
    <w:uiPriority w:val="99"/>
    <w:pPr>
      <w:tabs>
        <w:tab w:val="center" w:pos="4153"/>
        <w:tab w:val="right" w:pos="8306"/>
      </w:tabs>
      <w:snapToGrid w:val="0"/>
      <w:jc w:val="left"/>
    </w:pPr>
    <w:rPr>
      <w:sz w:val="18"/>
      <w:szCs w:val="18"/>
    </w:rPr>
  </w:style>
  <w:style w:type="paragraph" w:styleId="10">
    <w:name w:val="header"/>
    <w:basedOn w:val="1"/>
    <w:link w:val="2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6"/>
    <w:next w:val="1"/>
    <w:link w:val="19"/>
    <w:qFormat/>
    <w:uiPriority w:val="0"/>
    <w:pPr>
      <w:spacing w:after="0"/>
      <w:ind w:left="0" w:leftChars="0" w:firstLine="420" w:firstLineChars="200"/>
    </w:pPr>
    <w:rPr>
      <w:rFonts w:ascii="仿宋_GB2312" w:eastAsia="仿宋_GB2312"/>
      <w:kern w:val="0"/>
      <w:sz w:val="32"/>
      <w:szCs w:val="20"/>
    </w:rPr>
  </w:style>
  <w:style w:type="paragraph" w:customStyle="1" w:styleId="14">
    <w:name w:val="表格文字"/>
    <w:basedOn w:val="6"/>
    <w:next w:val="2"/>
    <w:qFormat/>
    <w:uiPriority w:val="99"/>
    <w:pPr>
      <w:spacing w:before="25" w:after="25"/>
    </w:pPr>
    <w:rPr>
      <w:bCs/>
      <w:spacing w:val="10"/>
      <w:kern w:val="0"/>
    </w:rPr>
  </w:style>
  <w:style w:type="character" w:customStyle="1" w:styleId="15">
    <w:name w:val="正文缩进 Char"/>
    <w:link w:val="4"/>
    <w:qFormat/>
    <w:locked/>
    <w:uiPriority w:val="0"/>
    <w:rPr>
      <w:rFonts w:ascii="Times New Roman" w:hAnsi="Times New Roman" w:eastAsia="宋体" w:cs="Times New Roman"/>
      <w:szCs w:val="20"/>
    </w:rPr>
  </w:style>
  <w:style w:type="character" w:customStyle="1" w:styleId="16">
    <w:name w:val="批注文字 Char"/>
    <w:basedOn w:val="13"/>
    <w:link w:val="5"/>
    <w:qFormat/>
    <w:uiPriority w:val="0"/>
    <w:rPr>
      <w:rFonts w:ascii="Times New Roman" w:hAnsi="Times New Roman" w:eastAsia="宋体" w:cs="Times New Roman"/>
      <w:szCs w:val="24"/>
    </w:rPr>
  </w:style>
  <w:style w:type="character" w:customStyle="1" w:styleId="17">
    <w:name w:val="正文文本 Char"/>
    <w:basedOn w:val="13"/>
    <w:link w:val="2"/>
    <w:qFormat/>
    <w:uiPriority w:val="0"/>
    <w:rPr>
      <w:rFonts w:ascii="Times New Roman" w:hAnsi="Times New Roman" w:eastAsia="宋体" w:cs="Times New Roman"/>
      <w:szCs w:val="24"/>
    </w:rPr>
  </w:style>
  <w:style w:type="character" w:customStyle="1" w:styleId="18">
    <w:name w:val="正文文本缩进 Char"/>
    <w:basedOn w:val="13"/>
    <w:link w:val="6"/>
    <w:semiHidden/>
    <w:qFormat/>
    <w:uiPriority w:val="99"/>
    <w:rPr>
      <w:rFonts w:ascii="Times New Roman" w:hAnsi="Times New Roman" w:eastAsia="宋体" w:cs="Times New Roman"/>
      <w:szCs w:val="24"/>
    </w:rPr>
  </w:style>
  <w:style w:type="character" w:customStyle="1" w:styleId="19">
    <w:name w:val="正文首行缩进 2 Char"/>
    <w:basedOn w:val="18"/>
    <w:link w:val="11"/>
    <w:qFormat/>
    <w:uiPriority w:val="0"/>
    <w:rPr>
      <w:rFonts w:ascii="仿宋_GB2312" w:hAnsi="Times New Roman" w:eastAsia="仿宋_GB2312" w:cs="Times New Roman"/>
      <w:kern w:val="0"/>
      <w:sz w:val="32"/>
      <w:szCs w:val="20"/>
    </w:rPr>
  </w:style>
  <w:style w:type="character" w:customStyle="1" w:styleId="20">
    <w:name w:val="List Paragraph Char"/>
    <w:link w:val="21"/>
    <w:qFormat/>
    <w:locked/>
    <w:uiPriority w:val="0"/>
    <w:rPr>
      <w:rFonts w:eastAsia="宋体"/>
      <w:szCs w:val="24"/>
    </w:rPr>
  </w:style>
  <w:style w:type="paragraph" w:customStyle="1" w:styleId="21">
    <w:name w:val="列出段落1"/>
    <w:basedOn w:val="1"/>
    <w:link w:val="20"/>
    <w:qFormat/>
    <w:uiPriority w:val="0"/>
    <w:pPr>
      <w:ind w:firstLine="420" w:firstLineChars="200"/>
    </w:pPr>
    <w:rPr>
      <w:rFonts w:asciiTheme="minorHAnsi" w:hAnsiTheme="minorHAnsi" w:cstheme="minorBidi"/>
    </w:rPr>
  </w:style>
  <w:style w:type="character" w:customStyle="1" w:styleId="22">
    <w:name w:val="批注框文本 Char"/>
    <w:basedOn w:val="13"/>
    <w:link w:val="8"/>
    <w:semiHidden/>
    <w:qFormat/>
    <w:uiPriority w:val="99"/>
    <w:rPr>
      <w:rFonts w:ascii="Times New Roman" w:hAnsi="Times New Roman" w:eastAsia="宋体" w:cs="Times New Roman"/>
      <w:sz w:val="18"/>
      <w:szCs w:val="18"/>
    </w:rPr>
  </w:style>
  <w:style w:type="character" w:customStyle="1" w:styleId="23">
    <w:name w:val="纯文本 Char"/>
    <w:basedOn w:val="13"/>
    <w:link w:val="7"/>
    <w:qFormat/>
    <w:uiPriority w:val="0"/>
    <w:rPr>
      <w:rFonts w:ascii="宋体" w:hAnsi="Courier New" w:eastAsia="宋体" w:cs="Times New Roman"/>
      <w:kern w:val="0"/>
      <w:sz w:val="20"/>
      <w:szCs w:val="21"/>
    </w:rPr>
  </w:style>
  <w:style w:type="paragraph" w:customStyle="1" w:styleId="2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5">
    <w:name w:val="页眉 Char"/>
    <w:basedOn w:val="13"/>
    <w:link w:val="10"/>
    <w:semiHidden/>
    <w:qFormat/>
    <w:uiPriority w:val="99"/>
    <w:rPr>
      <w:rFonts w:ascii="Times New Roman" w:hAnsi="Times New Roman" w:eastAsia="宋体" w:cs="Times New Roman"/>
      <w:kern w:val="2"/>
      <w:sz w:val="18"/>
      <w:szCs w:val="18"/>
    </w:rPr>
  </w:style>
  <w:style w:type="character" w:customStyle="1" w:styleId="26">
    <w:name w:val="页脚 Char"/>
    <w:basedOn w:val="13"/>
    <w:link w:val="9"/>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846</Words>
  <Characters>4824</Characters>
  <Lines>40</Lines>
  <Paragraphs>11</Paragraphs>
  <TotalTime>176</TotalTime>
  <ScaleCrop>false</ScaleCrop>
  <LinksUpToDate>false</LinksUpToDate>
  <CharactersWithSpaces>5659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2023-12-06T01:42:00Z</dcterms:created>
  <dc:creator>储晓阳</dc:creator>
  <cp:lastModifiedBy>张军</cp:lastModifiedBy>
  <cp:lastPrinted>2025-03-05T07:23:33Z</cp:lastPrinted>
  <dcterms:modified xsi:type="dcterms:W3CDTF">2025-03-05T07:31:31Z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8C138050A9A34E1C845BD14ABE9524FA_12</vt:lpwstr>
  </property>
</Properties>
</file>