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0491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关于放射科模拟定位CT维修球管服务</w:t>
      </w:r>
    </w:p>
    <w:p w14:paraId="30D784A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采购需求</w:t>
      </w:r>
    </w:p>
    <w:p w14:paraId="68A0E3AA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一、维修服务范围</w:t>
      </w:r>
    </w:p>
    <w:p w14:paraId="342306F5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-CT球管故障检测、维修，球管出现气体伪影通常与真空度不足或部件老化有关，需更换相关配件；  </w:t>
      </w:r>
    </w:p>
    <w:p w14:paraId="66573965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 维修后性能测试、校准及图像质量验证；  </w:t>
      </w:r>
    </w:p>
    <w:p w14:paraId="705D255E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 维修后提供预防性维护建议及定期检测服务；  </w:t>
      </w:r>
    </w:p>
    <w:p w14:paraId="59731C67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二.、技术要求 </w:t>
      </w:r>
    </w:p>
    <w:p w14:paraId="1592F9D7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 维修后球管性能需达到原厂技术标准（如热容量、散热效率、曝光次数等）；  </w:t>
      </w:r>
    </w:p>
    <w:p w14:paraId="782BE652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 维修过程符合国家医疗器械相关法规及辐射安全标准；  </w:t>
      </w:r>
    </w:p>
    <w:p w14:paraId="4BA48A31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 提供维修后的检测报告及合规性证明文件（如第三方检测报告）。  </w:t>
      </w:r>
    </w:p>
    <w:p w14:paraId="04D10C8C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三、基本资质 </w:t>
      </w:r>
    </w:p>
    <w:p w14:paraId="6DF20DD5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 具有独立法人资格及医疗器械维修相关资质；  </w:t>
      </w:r>
    </w:p>
    <w:p w14:paraId="2593DFFB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 提供ISO质量管理体系认证或医疗器械维修服务认证；   </w:t>
      </w:r>
    </w:p>
    <w:p w14:paraId="7489E3E7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四、技术能力  </w:t>
      </w:r>
    </w:p>
    <w:p w14:paraId="2080960F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 拥有CT球管维修经验的专业工程师团队（需提供人员资质证明）；  </w:t>
      </w:r>
    </w:p>
    <w:p w14:paraId="7F294755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五、验收标准</w:t>
      </w:r>
    </w:p>
    <w:p w14:paraId="21316333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- 维修后CT球管性能通过原厂标准测试（如散热效率、曝光次数等）；  </w:t>
      </w:r>
    </w:p>
    <w:p w14:paraId="1369641D">
      <w:pPr>
        <w:ind w:firstLine="320" w:firstLineChars="100"/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- 图像质量符合临床诊断要求（需提供测试图像及报告）；  </w:t>
      </w:r>
    </w:p>
    <w:p w14:paraId="3590FCA3">
      <w:pPr>
        <w:ind w:firstLine="320" w:firstLineChars="100"/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- 辐射安全指标符合国家标准（GBZ 130-2020）。</w:t>
      </w:r>
    </w:p>
    <w:p w14:paraId="6096DCF1">
      <w:pPr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六、CT</w:t>
      </w: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lang w:val="en-US" w:eastAsia="zh-CN"/>
        </w:rPr>
        <w:t>球管维修后质保3个月。</w:t>
      </w:r>
    </w:p>
    <w:p w14:paraId="5A139692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7BCB296C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57F98875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42FE1DFF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D7967"/>
    <w:rsid w:val="127B6F37"/>
    <w:rsid w:val="23741A1F"/>
    <w:rsid w:val="2966005A"/>
    <w:rsid w:val="68CA094F"/>
    <w:rsid w:val="6EEB2E43"/>
    <w:rsid w:val="7935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392</Characters>
  <Lines>0</Lines>
  <Paragraphs>0</Paragraphs>
  <TotalTime>28</TotalTime>
  <ScaleCrop>false</ScaleCrop>
  <LinksUpToDate>false</LinksUpToDate>
  <CharactersWithSpaces>464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2025-05-09T00:45:00Z</dcterms:created>
  <dc:creator>Administrator</dc:creator>
  <cp:lastModifiedBy>bl</cp:lastModifiedBy>
  <dcterms:modified xsi:type="dcterms:W3CDTF">2025-05-09T03:31:47Z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eyJoZGlkIjoiNzBjNGQ2NGEyMzliZTgzMjdiNDZkZWRiMDY5Yzk1ZTMifQ==</vt:lpwstr>
  </property>
  <property fmtid="{D5CDD505-2E9C-101B-9397-08002B2CF9AE}" pid="4" name="ICV">
    <vt:lpwstr>39DCB4759E844C4880755D00662CB17C_12</vt:lpwstr>
  </property>
</Properties>
</file>