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5C528">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飞秒激光平台</w:t>
      </w:r>
      <w:r>
        <w:rPr>
          <w:rFonts w:hint="eastAsia" w:ascii="方正小标宋简体" w:hAnsi="方正小标宋简体" w:eastAsia="方正小标宋简体" w:cs="方正小标宋简体"/>
          <w:b w:val="0"/>
          <w:bCs w:val="0"/>
          <w:sz w:val="44"/>
          <w:szCs w:val="44"/>
        </w:rPr>
        <w:t>维保</w:t>
      </w:r>
      <w:r>
        <w:rPr>
          <w:rFonts w:hint="eastAsia" w:ascii="方正小标宋简体" w:hAnsi="方正小标宋简体" w:eastAsia="方正小标宋简体" w:cs="方正小标宋简体"/>
          <w:b w:val="0"/>
          <w:bCs w:val="0"/>
          <w:sz w:val="44"/>
          <w:szCs w:val="44"/>
          <w:lang w:val="en-US" w:eastAsia="zh-CN"/>
        </w:rPr>
        <w:t>服务</w:t>
      </w:r>
      <w:r>
        <w:rPr>
          <w:rFonts w:hint="eastAsia" w:ascii="方正小标宋简体" w:hAnsi="方正小标宋简体" w:eastAsia="方正小标宋简体" w:cs="方正小标宋简体"/>
          <w:b w:val="0"/>
          <w:bCs w:val="0"/>
          <w:sz w:val="44"/>
          <w:szCs w:val="44"/>
        </w:rPr>
        <w:t>要求</w:t>
      </w:r>
    </w:p>
    <w:p w14:paraId="7DDABAC8">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jc w:val="center"/>
        <w:textAlignment w:val="auto"/>
        <w:rPr>
          <w:rFonts w:hint="eastAsia"/>
          <w:sz w:val="44"/>
          <w:szCs w:val="44"/>
        </w:rPr>
      </w:pPr>
    </w:p>
    <w:p w14:paraId="72EFBD68">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default"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飞秒激光平台包括飞秒激光角膜屈光治疗机（规格型号：VisuMax）、准分子激光系统（规格型号：MEL90）,现做维保服务要求如下：</w:t>
      </w:r>
    </w:p>
    <w:p w14:paraId="090CE813">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lang w:val="en-US" w:eastAsia="zh-CN"/>
        </w:rPr>
        <w:t>一、</w:t>
      </w:r>
      <w:r>
        <w:rPr>
          <w:rFonts w:hint="eastAsia" w:ascii="黑体" w:hAnsi="黑体" w:eastAsia="黑体" w:cs="黑体"/>
          <w:b w:val="0"/>
          <w:bCs w:val="0"/>
          <w:color w:val="000000"/>
          <w:sz w:val="32"/>
          <w:szCs w:val="32"/>
        </w:rPr>
        <w:t>三年整机全保</w:t>
      </w:r>
    </w:p>
    <w:p w14:paraId="066ECAC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包含工时：免除服务合同期内所需的人工费用，享有供应商优先派工的权利。</w:t>
      </w:r>
    </w:p>
    <w:p w14:paraId="3258FCCC">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2</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常规备件（包</w:t>
      </w:r>
      <w:r>
        <w:rPr>
          <w:rFonts w:hint="eastAsia" w:ascii="仿宋_GB2312" w:hAnsi="仿宋_GB2312" w:eastAsia="仿宋_GB2312" w:cs="仿宋_GB2312"/>
          <w:b w:val="0"/>
          <w:bCs w:val="0"/>
          <w:color w:val="000000"/>
          <w:sz w:val="32"/>
          <w:szCs w:val="32"/>
          <w:lang w:val="en-US" w:eastAsia="zh-CN"/>
        </w:rPr>
        <w:t>激光腔</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等整机的所有配件及软件</w:t>
      </w:r>
      <w:r>
        <w:rPr>
          <w:rFonts w:hint="eastAsia" w:ascii="仿宋_GB2312" w:hAnsi="仿宋_GB2312" w:eastAsia="仿宋_GB2312" w:cs="仿宋_GB2312"/>
          <w:b w:val="0"/>
          <w:bCs w:val="0"/>
          <w:color w:val="000000"/>
          <w:sz w:val="32"/>
          <w:szCs w:val="32"/>
        </w:rPr>
        <w:t>）整机全保:</w:t>
      </w:r>
    </w:p>
    <w:p w14:paraId="2285009D">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维修设备时更换问题部件，并负责备件的运输，具体包括：</w:t>
      </w:r>
    </w:p>
    <w:p w14:paraId="07E0E26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（1）提供保修所需的备件</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rPr>
        <w:t>备件供应要及时、充足。</w:t>
      </w:r>
    </w:p>
    <w:p w14:paraId="242CB6FC">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（2）整机备件必须是原厂提供的未拆封原装备件。</w:t>
      </w:r>
    </w:p>
    <w:p w14:paraId="477C0A3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（3）优先运送零配件，回收备件旧件。</w:t>
      </w:r>
    </w:p>
    <w:p w14:paraId="3A54174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rPr>
        <w:t>（4）</w:t>
      </w:r>
      <w:r>
        <w:rPr>
          <w:rFonts w:hint="eastAsia" w:ascii="仿宋_GB2312" w:hAnsi="仿宋_GB2312" w:eastAsia="仿宋_GB2312" w:cs="仿宋_GB2312"/>
          <w:b w:val="0"/>
          <w:bCs w:val="0"/>
          <w:color w:val="000000"/>
          <w:sz w:val="32"/>
          <w:szCs w:val="32"/>
          <w:lang w:val="en-US" w:eastAsia="zh-CN"/>
        </w:rPr>
        <w:t xml:space="preserve"> 设备</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软件维护、升级。</w:t>
      </w:r>
    </w:p>
    <w:p w14:paraId="14F291A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3</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保证开机率：在合同期内保证95%的开机率，（停机时间少于5%）按一年365个日历日计算。如果此开机率由于中标供应商的原因未能达到，对于开机率低于</w:t>
      </w:r>
      <w:r>
        <w:rPr>
          <w:rFonts w:hint="eastAsia" w:ascii="仿宋_GB2312" w:hAnsi="仿宋_GB2312" w:eastAsia="仿宋_GB2312" w:cs="仿宋_GB2312"/>
          <w:b w:val="0"/>
          <w:bCs w:val="0"/>
          <w:color w:val="000000"/>
          <w:sz w:val="32"/>
          <w:szCs w:val="32"/>
          <w:lang w:val="en-US" w:eastAsia="zh-CN"/>
        </w:rPr>
        <w:t>347天</w:t>
      </w:r>
      <w:r>
        <w:rPr>
          <w:rFonts w:hint="eastAsia" w:ascii="仿宋_GB2312" w:hAnsi="仿宋_GB2312" w:eastAsia="仿宋_GB2312" w:cs="仿宋_GB2312"/>
          <w:b w:val="0"/>
          <w:bCs w:val="0"/>
          <w:color w:val="000000"/>
          <w:sz w:val="32"/>
          <w:szCs w:val="32"/>
        </w:rPr>
        <w:t>的</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每减少</w:t>
      </w:r>
      <w:r>
        <w:rPr>
          <w:rFonts w:hint="eastAsia" w:ascii="仿宋_GB2312" w:hAnsi="仿宋_GB2312" w:eastAsia="仿宋_GB2312" w:cs="仿宋_GB2312"/>
          <w:b w:val="0"/>
          <w:bCs w:val="0"/>
          <w:color w:val="000000"/>
          <w:sz w:val="32"/>
          <w:szCs w:val="32"/>
        </w:rPr>
        <w:t>一</w:t>
      </w:r>
      <w:r>
        <w:rPr>
          <w:rFonts w:hint="eastAsia" w:ascii="仿宋_GB2312" w:hAnsi="仿宋_GB2312" w:eastAsia="仿宋_GB2312" w:cs="仿宋_GB2312"/>
          <w:b w:val="0"/>
          <w:bCs w:val="0"/>
          <w:color w:val="000000"/>
          <w:sz w:val="32"/>
          <w:szCs w:val="32"/>
          <w:lang w:val="en-US" w:eastAsia="zh-CN"/>
        </w:rPr>
        <w:t>天</w:t>
      </w:r>
      <w:r>
        <w:rPr>
          <w:rFonts w:hint="eastAsia" w:ascii="仿宋_GB2312" w:hAnsi="仿宋_GB2312" w:eastAsia="仿宋_GB2312" w:cs="仿宋_GB2312"/>
          <w:b w:val="0"/>
          <w:bCs w:val="0"/>
          <w:color w:val="000000"/>
          <w:sz w:val="32"/>
          <w:szCs w:val="32"/>
        </w:rPr>
        <w:t>,中标供应商</w:t>
      </w:r>
      <w:r>
        <w:rPr>
          <w:rFonts w:hint="eastAsia" w:ascii="仿宋_GB2312" w:hAnsi="仿宋_GB2312" w:eastAsia="仿宋_GB2312" w:cs="仿宋_GB2312"/>
          <w:b w:val="0"/>
          <w:bCs w:val="0"/>
          <w:color w:val="000000"/>
          <w:sz w:val="32"/>
          <w:szCs w:val="32"/>
          <w:lang w:val="en-US" w:eastAsia="zh-CN"/>
        </w:rPr>
        <w:t>将按我院该设备一年平均一天的营业额进行赔偿</w:t>
      </w:r>
      <w:r>
        <w:rPr>
          <w:rFonts w:hint="eastAsia" w:ascii="仿宋_GB2312" w:hAnsi="仿宋_GB2312" w:eastAsia="仿宋_GB2312" w:cs="仿宋_GB2312"/>
          <w:b w:val="0"/>
          <w:bCs w:val="0"/>
          <w:color w:val="000000"/>
          <w:sz w:val="32"/>
          <w:szCs w:val="32"/>
        </w:rPr>
        <w:t>。</w:t>
      </w:r>
    </w:p>
    <w:p w14:paraId="51799903">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4</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安全检查：安全检查将按照厂家标准及当地规定执行，具体包括：</w:t>
      </w:r>
    </w:p>
    <w:p w14:paraId="72D905C7">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（1）制定</w:t>
      </w:r>
      <w:r>
        <w:rPr>
          <w:rFonts w:hint="eastAsia" w:ascii="仿宋_GB2312" w:hAnsi="仿宋_GB2312" w:eastAsia="仿宋_GB2312" w:cs="仿宋_GB2312"/>
          <w:b w:val="0"/>
          <w:bCs w:val="0"/>
          <w:color w:val="000000"/>
          <w:sz w:val="32"/>
          <w:szCs w:val="32"/>
          <w:lang w:val="en-US" w:eastAsia="zh-CN"/>
        </w:rPr>
        <w:t>年度</w:t>
      </w:r>
      <w:r>
        <w:rPr>
          <w:rFonts w:hint="eastAsia" w:ascii="仿宋_GB2312" w:hAnsi="仿宋_GB2312" w:eastAsia="仿宋_GB2312" w:cs="仿宋_GB2312"/>
          <w:b w:val="0"/>
          <w:bCs w:val="0"/>
          <w:color w:val="000000"/>
          <w:sz w:val="32"/>
          <w:szCs w:val="32"/>
        </w:rPr>
        <w:t>检查计划；</w:t>
      </w:r>
    </w:p>
    <w:p w14:paraId="15221F0D">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（2）机械安全检查；</w:t>
      </w:r>
    </w:p>
    <w:p w14:paraId="341F5A05">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（3）电气安全检查；</w:t>
      </w:r>
    </w:p>
    <w:p w14:paraId="10A55CAD">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（4）记录检查结果</w:t>
      </w:r>
    </w:p>
    <w:p w14:paraId="2BAC9182">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5</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质量保证：通过以下任务和工作以保证设备质量达到厂家颁布的质量标准。</w:t>
      </w:r>
    </w:p>
    <w:p w14:paraId="53FB36E3">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（1）制定</w:t>
      </w:r>
      <w:r>
        <w:rPr>
          <w:rFonts w:hint="eastAsia" w:ascii="仿宋_GB2312" w:hAnsi="仿宋_GB2312" w:eastAsia="仿宋_GB2312" w:cs="仿宋_GB2312"/>
          <w:b w:val="0"/>
          <w:bCs w:val="0"/>
          <w:color w:val="000000"/>
          <w:sz w:val="32"/>
          <w:szCs w:val="32"/>
          <w:lang w:val="en-US" w:eastAsia="zh-CN"/>
        </w:rPr>
        <w:t>年度</w:t>
      </w:r>
      <w:r>
        <w:rPr>
          <w:rFonts w:hint="eastAsia" w:ascii="仿宋_GB2312" w:hAnsi="仿宋_GB2312" w:eastAsia="仿宋_GB2312" w:cs="仿宋_GB2312"/>
          <w:b w:val="0"/>
          <w:bCs w:val="0"/>
          <w:color w:val="000000"/>
          <w:sz w:val="32"/>
          <w:szCs w:val="32"/>
        </w:rPr>
        <w:t>检查计划；</w:t>
      </w:r>
    </w:p>
    <w:p w14:paraId="132B07D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（2）</w:t>
      </w:r>
      <w:r>
        <w:rPr>
          <w:rFonts w:hint="eastAsia" w:ascii="仿宋_GB2312" w:hAnsi="仿宋_GB2312" w:eastAsia="仿宋_GB2312" w:cs="仿宋_GB2312"/>
          <w:b w:val="0"/>
          <w:bCs w:val="0"/>
          <w:color w:val="000000"/>
          <w:sz w:val="32"/>
          <w:szCs w:val="32"/>
          <w:lang w:val="en-US" w:eastAsia="zh-CN"/>
        </w:rPr>
        <w:t>设备性能</w:t>
      </w:r>
      <w:r>
        <w:rPr>
          <w:rFonts w:hint="eastAsia" w:ascii="仿宋_GB2312" w:hAnsi="仿宋_GB2312" w:eastAsia="仿宋_GB2312" w:cs="仿宋_GB2312"/>
          <w:b w:val="0"/>
          <w:bCs w:val="0"/>
          <w:color w:val="000000"/>
          <w:sz w:val="32"/>
          <w:szCs w:val="32"/>
        </w:rPr>
        <w:t>检查；</w:t>
      </w:r>
    </w:p>
    <w:p w14:paraId="1205419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（3）评判参数结果；</w:t>
      </w:r>
    </w:p>
    <w:p w14:paraId="15E599F3">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（4）调整/校准；</w:t>
      </w:r>
    </w:p>
    <w:p w14:paraId="689368A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（5）记录</w:t>
      </w:r>
      <w:r>
        <w:rPr>
          <w:rFonts w:hint="eastAsia" w:ascii="仿宋_GB2312" w:hAnsi="仿宋_GB2312" w:eastAsia="仿宋_GB2312" w:cs="仿宋_GB2312"/>
          <w:b w:val="0"/>
          <w:bCs w:val="0"/>
          <w:color w:val="000000"/>
          <w:sz w:val="32"/>
          <w:szCs w:val="32"/>
          <w:lang w:val="en-US" w:eastAsia="zh-CN"/>
        </w:rPr>
        <w:t>治疗和</w:t>
      </w:r>
      <w:r>
        <w:rPr>
          <w:rFonts w:hint="eastAsia" w:ascii="仿宋_GB2312" w:hAnsi="仿宋_GB2312" w:eastAsia="仿宋_GB2312" w:cs="仿宋_GB2312"/>
          <w:b w:val="0"/>
          <w:bCs w:val="0"/>
          <w:color w:val="000000"/>
          <w:sz w:val="32"/>
          <w:szCs w:val="32"/>
        </w:rPr>
        <w:t>检查结果</w:t>
      </w:r>
    </w:p>
    <w:p w14:paraId="7062CAA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6</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安全升级：按照建议及要求提供硬件和软件升级，以提高设备的安全性和性能。</w:t>
      </w:r>
    </w:p>
    <w:p w14:paraId="7495D17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（1）持续监控设备是否需要升级；</w:t>
      </w:r>
    </w:p>
    <w:p w14:paraId="0C326E6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（2）提供安全性升级；</w:t>
      </w:r>
    </w:p>
    <w:p w14:paraId="5149CB4C">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（3）提供建议性升级；</w:t>
      </w:r>
    </w:p>
    <w:p w14:paraId="44B69E88">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（4）记录升级程序</w:t>
      </w:r>
    </w:p>
    <w:p w14:paraId="09D0F950">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7</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技术电话支持：全国范围内免费热线电话，由中标供应商提供快速诊断和支持服务：技术电话支持(24X7)，周一至周日，每天24小时；</w:t>
      </w:r>
    </w:p>
    <w:p w14:paraId="42D9E0C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8</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高级诊断：投标人必须在整个合同期内都能合法获得原厂故障诊断的诊断维修钥匙（service key）,并保证不违反国家有关知识产权的法律规定，并做出相应书面承诺。</w:t>
      </w:r>
    </w:p>
    <w:p w14:paraId="7C94669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9</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预防性保养（一年四次）：按照计划提供, 以保证设备处于最佳运行状态，</w:t>
      </w:r>
      <w:r>
        <w:rPr>
          <w:rFonts w:hint="eastAsia" w:ascii="仿宋_GB2312" w:hAnsi="仿宋_GB2312" w:eastAsia="仿宋_GB2312" w:cs="仿宋_GB2312"/>
          <w:b w:val="0"/>
          <w:bCs w:val="0"/>
          <w:color w:val="000000"/>
          <w:sz w:val="32"/>
          <w:szCs w:val="32"/>
          <w:lang w:val="en-US" w:eastAsia="zh-CN"/>
        </w:rPr>
        <w:t>并且每次的规范化保养时间大于4小时的场地工作时间，</w:t>
      </w:r>
      <w:r>
        <w:rPr>
          <w:rFonts w:hint="eastAsia" w:ascii="仿宋_GB2312" w:hAnsi="仿宋_GB2312" w:eastAsia="仿宋_GB2312" w:cs="仿宋_GB2312"/>
          <w:b w:val="0"/>
          <w:bCs w:val="0"/>
          <w:color w:val="000000"/>
          <w:sz w:val="32"/>
          <w:szCs w:val="32"/>
        </w:rPr>
        <w:t>包括：</w:t>
      </w:r>
    </w:p>
    <w:p w14:paraId="7EA6462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（1）记录并安排保养时间；</w:t>
      </w:r>
    </w:p>
    <w:p w14:paraId="7AE068E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（2）保养计划更换损耗部件；</w:t>
      </w:r>
    </w:p>
    <w:p w14:paraId="58AF1A64">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（3）检测；</w:t>
      </w:r>
    </w:p>
    <w:p w14:paraId="58B23115">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（4）按照厂家标准进行调校；</w:t>
      </w:r>
    </w:p>
    <w:p w14:paraId="06F49046">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（5）确认各项技术指标及性能；</w:t>
      </w:r>
    </w:p>
    <w:p w14:paraId="4DC574A1">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（6）记录设备状况；</w:t>
      </w:r>
    </w:p>
    <w:p w14:paraId="7230112F">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（7）提供设备原厂保养内容清单。</w:t>
      </w:r>
    </w:p>
    <w:p w14:paraId="02D095CC">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10</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预防性保养损耗品：预防性保养中需更换的损耗品由维保公司免费提供。</w:t>
      </w:r>
    </w:p>
    <w:p w14:paraId="5BA86CA4">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11</w:t>
      </w:r>
      <w:r>
        <w:rPr>
          <w:rFonts w:hint="eastAsia"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rPr>
        <w:t>贴身卫士：前瞻性动态实时监测确保系统的工作流程</w:t>
      </w:r>
    </w:p>
    <w:p w14:paraId="3061D2D0">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 xml:space="preserve">（1）动态监测 </w:t>
      </w:r>
    </w:p>
    <w:p w14:paraId="7B3E7FC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①监测器和监测软件安装在系统中，持续监测系统运行参数。</w:t>
      </w:r>
    </w:p>
    <w:p w14:paraId="3308C9B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②系统参数背离的预警信号会在系统故障出现前发出。</w:t>
      </w:r>
    </w:p>
    <w:p w14:paraId="0641D85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③如果参数背离超过预先设定的预警值，系统会自动将系统状态信息发送至运行保障中心。</w:t>
      </w:r>
    </w:p>
    <w:p w14:paraId="34939657">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（2）专家建议</w:t>
      </w:r>
    </w:p>
    <w:p w14:paraId="0DE6F80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①专家建议–提高设备使用效率</w:t>
      </w:r>
    </w:p>
    <w:p w14:paraId="0098879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②前瞻性的服务流程被启动。</w:t>
      </w:r>
    </w:p>
    <w:p w14:paraId="06A0D1D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③准确的针对系统的专家意见要求在第一时间提交。</w:t>
      </w:r>
    </w:p>
    <w:p w14:paraId="32A2283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（3）技术支持</w:t>
      </w:r>
    </w:p>
    <w:p w14:paraId="00F38792">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①维修和技术支持——在问题出现前予以解决。</w:t>
      </w:r>
    </w:p>
    <w:p w14:paraId="45A1B1F6">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②必要时服务工程师和相应的备件会被及时派往现场。</w:t>
      </w:r>
    </w:p>
    <w:p w14:paraId="123DA5A1">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③系统立刻被恢复正常运转。</w:t>
      </w:r>
    </w:p>
    <w:p w14:paraId="2A69F539">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（4）提升效率</w:t>
      </w:r>
    </w:p>
    <w:p w14:paraId="1A67296B">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sz w:val="32"/>
          <w:szCs w:val="32"/>
        </w:rPr>
      </w:pPr>
      <w:r>
        <w:rPr>
          <w:rFonts w:hint="eastAsia" w:ascii="仿宋_GB2312" w:hAnsi="仿宋_GB2312" w:eastAsia="仿宋_GB2312" w:cs="仿宋_GB2312"/>
          <w:b w:val="0"/>
          <w:bCs w:val="0"/>
          <w:color w:val="000000"/>
          <w:sz w:val="32"/>
          <w:szCs w:val="32"/>
        </w:rPr>
        <w:t>①维修时间要求——提高维修计划的可靠性</w:t>
      </w:r>
    </w:p>
    <w:p w14:paraId="46B3428A">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eastAsia" w:ascii="宋体" w:hAnsi="宋体" w:cs="宋体"/>
          <w:color w:val="000000"/>
        </w:rPr>
      </w:pPr>
      <w:r>
        <w:rPr>
          <w:rFonts w:hint="eastAsia" w:ascii="仿宋_GB2312" w:hAnsi="仿宋_GB2312" w:eastAsia="仿宋_GB2312" w:cs="仿宋_GB2312"/>
          <w:b w:val="0"/>
          <w:bCs w:val="0"/>
          <w:color w:val="000000"/>
          <w:sz w:val="32"/>
          <w:szCs w:val="32"/>
        </w:rPr>
        <w:t>②使病人检查计划尽可能快地回到正常轨道</w:t>
      </w:r>
    </w:p>
    <w:p w14:paraId="1B0F5969">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12.每次的维护保养及故障更换配件后，工程师调试好各种参数保证设备正常运转，并至少跟台三批次手术，以保障病人手术安全。</w:t>
      </w:r>
    </w:p>
    <w:p w14:paraId="0159D55C">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13</w:t>
      </w:r>
      <w:r>
        <w:rPr>
          <w:rFonts w:hint="default" w:ascii="仿宋_GB2312" w:hAnsi="仿宋_GB2312" w:eastAsia="仿宋_GB2312" w:cs="仿宋_GB2312"/>
          <w:b w:val="0"/>
          <w:bCs w:val="0"/>
          <w:color w:val="000000"/>
          <w:sz w:val="32"/>
          <w:szCs w:val="32"/>
          <w:lang w:val="en-US" w:eastAsia="zh-CN"/>
        </w:rPr>
        <w:t>.</w:t>
      </w:r>
      <w:r>
        <w:rPr>
          <w:rFonts w:hint="eastAsia" w:ascii="仿宋_GB2312" w:hAnsi="仿宋_GB2312" w:eastAsia="仿宋_GB2312" w:cs="仿宋_GB2312"/>
          <w:b w:val="0"/>
          <w:bCs w:val="0"/>
          <w:color w:val="000000"/>
          <w:sz w:val="32"/>
          <w:szCs w:val="32"/>
          <w:lang w:val="en-US" w:eastAsia="zh-CN"/>
        </w:rPr>
        <w:t>电话响应时间小于30分钟，场地响应时间小于24小时。</w:t>
      </w:r>
    </w:p>
    <w:p w14:paraId="7A13A344">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_GB2312" w:hAnsi="仿宋_GB2312" w:eastAsia="仿宋_GB2312" w:cs="仿宋_GB2312"/>
          <w:b w:val="0"/>
          <w:bCs w:val="0"/>
          <w:color w:val="000000"/>
          <w:kern w:val="44"/>
          <w:sz w:val="32"/>
          <w:szCs w:val="32"/>
          <w:lang w:val="en-US" w:eastAsia="zh-CN" w:bidi="ar-SA"/>
        </w:rPr>
      </w:pPr>
      <w:r>
        <w:rPr>
          <w:rFonts w:hint="eastAsia" w:ascii="仿宋_GB2312" w:hAnsi="仿宋_GB2312" w:eastAsia="仿宋_GB2312" w:cs="仿宋_GB2312"/>
          <w:b w:val="0"/>
          <w:bCs w:val="0"/>
          <w:color w:val="000000"/>
          <w:kern w:val="44"/>
          <w:sz w:val="32"/>
          <w:szCs w:val="32"/>
          <w:lang w:val="en-US" w:eastAsia="zh-CN" w:bidi="ar-SA"/>
        </w:rPr>
        <w:t>14.系统培训服务：对医院维护人员针对常见问题的指导、培训。</w:t>
      </w:r>
    </w:p>
    <w:p w14:paraId="26CBD10B">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二、附带检查设备的</w:t>
      </w:r>
      <w:r>
        <w:rPr>
          <w:rFonts w:hint="eastAsia" w:ascii="黑体" w:hAnsi="黑体" w:eastAsia="黑体" w:cs="黑体"/>
          <w:b w:val="0"/>
          <w:bCs w:val="0"/>
          <w:color w:val="000000"/>
          <w:sz w:val="32"/>
          <w:szCs w:val="32"/>
        </w:rPr>
        <w:t>三年</w:t>
      </w:r>
      <w:r>
        <w:rPr>
          <w:rFonts w:hint="eastAsia" w:ascii="黑体" w:hAnsi="黑体" w:eastAsia="黑体" w:cs="黑体"/>
          <w:b w:val="0"/>
          <w:bCs w:val="0"/>
          <w:color w:val="000000"/>
          <w:sz w:val="32"/>
          <w:szCs w:val="32"/>
          <w:lang w:val="en-US" w:eastAsia="zh-CN"/>
        </w:rPr>
        <w:t>全保</w:t>
      </w:r>
    </w:p>
    <w:p w14:paraId="535D4CD5">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sz w:val="32"/>
          <w:szCs w:val="32"/>
          <w:lang w:val="en-US" w:eastAsia="zh-CN"/>
        </w:rPr>
      </w:pPr>
      <w:r>
        <w:rPr>
          <w:rFonts w:hint="eastAsia" w:ascii="仿宋_GB2312" w:hAnsi="仿宋_GB2312" w:eastAsia="仿宋_GB2312" w:cs="仿宋_GB2312"/>
          <w:b w:val="0"/>
          <w:bCs w:val="0"/>
          <w:color w:val="000000"/>
          <w:sz w:val="32"/>
          <w:szCs w:val="32"/>
          <w:lang w:val="en-US" w:eastAsia="zh-CN"/>
        </w:rPr>
        <w:t>附带检查设备：光相干断层扫描仪（规格型号：OCT 5000）、眼科光学生物测量仪（规格型号：IOL Master 500）以及角膜地形图（规格型号：ATLAS 9000）三年全保。</w:t>
      </w:r>
    </w:p>
    <w:p w14:paraId="50BEB0A1">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三、其他要求</w:t>
      </w:r>
    </w:p>
    <w:p w14:paraId="3265DEB7">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ind w:firstLine="640" w:firstLineChars="200"/>
        <w:jc w:val="both"/>
        <w:textAlignment w:val="auto"/>
        <w:rPr>
          <w:rFonts w:hint="default" w:ascii="仿宋_GB2312" w:hAnsi="仿宋_GB2312" w:eastAsia="仿宋_GB2312" w:cs="仿宋_GB2312"/>
          <w:b w:val="0"/>
          <w:bCs w:val="0"/>
          <w:color w:val="000000"/>
          <w:sz w:val="32"/>
          <w:szCs w:val="32"/>
          <w:lang w:val="en-US" w:eastAsia="zh-CN"/>
        </w:rPr>
      </w:pPr>
      <w:r>
        <w:rPr>
          <w:rFonts w:hint="default" w:ascii="仿宋_GB2312" w:hAnsi="仿宋_GB2312" w:eastAsia="仿宋_GB2312" w:cs="仿宋_GB2312"/>
          <w:b w:val="0"/>
          <w:bCs w:val="0"/>
          <w:color w:val="000000"/>
          <w:sz w:val="32"/>
          <w:szCs w:val="32"/>
          <w:lang w:val="en-US" w:eastAsia="zh-CN"/>
        </w:rPr>
        <w:t>包含以上或超出范围要求。</w:t>
      </w:r>
    </w:p>
    <w:p w14:paraId="49C3EF5F">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jc w:val="both"/>
        <w:textAlignment w:val="auto"/>
        <w:rPr>
          <w:rFonts w:hint="default" w:ascii="仿宋_GB2312" w:hAnsi="仿宋_GB2312" w:eastAsia="仿宋_GB2312" w:cs="仿宋_GB2312"/>
          <w:b w:val="0"/>
          <w:bCs w:val="0"/>
          <w:color w:val="000000"/>
          <w:sz w:val="32"/>
          <w:szCs w:val="32"/>
          <w:lang w:val="en-US" w:eastAsia="zh-CN"/>
        </w:rPr>
      </w:pPr>
    </w:p>
    <w:p w14:paraId="3E048208">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jc w:val="both"/>
        <w:textAlignment w:val="auto"/>
        <w:rPr>
          <w:rFonts w:hint="default" w:ascii="仿宋_GB2312" w:hAnsi="仿宋_GB2312" w:eastAsia="仿宋_GB2312" w:cs="仿宋_GB2312"/>
          <w:b w:val="0"/>
          <w:bCs w:val="0"/>
          <w:color w:val="000000"/>
          <w:sz w:val="32"/>
          <w:szCs w:val="32"/>
          <w:lang w:val="en-US" w:eastAsia="zh-CN"/>
        </w:rPr>
      </w:pPr>
    </w:p>
    <w:p w14:paraId="3E3A0B3C">
      <w:pPr>
        <w:pStyle w:val="7"/>
        <w:keepNext/>
        <w:keepLines/>
        <w:pageBreakBefore w:val="0"/>
        <w:widowControl w:val="0"/>
        <w:kinsoku/>
        <w:wordWrap/>
        <w:overflowPunct/>
        <w:topLinePunct w:val="0"/>
        <w:autoSpaceDE/>
        <w:autoSpaceDN/>
        <w:bidi w:val="0"/>
        <w:adjustRightInd/>
        <w:snapToGrid/>
        <w:spacing w:before="0" w:beforeLines="0" w:after="0" w:afterLines="0" w:line="540" w:lineRule="exact"/>
        <w:jc w:val="both"/>
        <w:textAlignment w:val="auto"/>
        <w:rPr>
          <w:rFonts w:hint="default" w:ascii="仿宋_GB2312" w:hAnsi="仿宋_GB2312" w:eastAsia="仿宋_GB2312" w:cs="仿宋_GB2312"/>
          <w:b w:val="0"/>
          <w:bCs w:val="0"/>
          <w:color w:val="000000"/>
          <w:sz w:val="32"/>
          <w:szCs w:val="32"/>
          <w:lang w:val="en-US" w:eastAsia="zh-CN"/>
        </w:rPr>
      </w:pPr>
    </w:p>
    <w:p w14:paraId="029C51C6">
      <w:pPr>
        <w:pageBreakBefore w:val="0"/>
        <w:widowControl w:val="0"/>
        <w:numPr>
          <w:ilvl w:val="0"/>
          <w:numId w:val="0"/>
        </w:numPr>
        <w:kinsoku/>
        <w:wordWrap/>
        <w:overflowPunct/>
        <w:topLinePunct w:val="0"/>
        <w:autoSpaceDE/>
        <w:autoSpaceDN/>
        <w:bidi w:val="0"/>
        <w:adjustRightInd/>
        <w:snapToGrid/>
        <w:spacing w:line="540" w:lineRule="exact"/>
        <w:ind w:firstLine="5760" w:firstLineChars="1800"/>
        <w:jc w:val="left"/>
        <w:textAlignment w:val="auto"/>
        <w:rPr>
          <w:rFonts w:hint="default" w:ascii="仿宋_GB2312" w:hAnsi="仿宋_GB2312" w:eastAsia="仿宋_GB2312" w:cs="仿宋_GB2312"/>
          <w:b w:val="0"/>
          <w:bCs w:val="0"/>
          <w:color w:val="000000"/>
          <w:sz w:val="32"/>
          <w:szCs w:val="32"/>
          <w:lang w:val="en-US" w:eastAsia="zh-CN"/>
        </w:rPr>
      </w:pPr>
      <w:bookmarkStart w:id="0" w:name="_GoBack"/>
      <w:bookmarkEnd w:id="0"/>
    </w:p>
    <w:p w14:paraId="64FCDCF0">
      <w:pPr>
        <w:pageBreakBefore w:val="0"/>
        <w:widowControl w:val="0"/>
        <w:numPr>
          <w:ilvl w:val="0"/>
          <w:numId w:val="0"/>
        </w:numPr>
        <w:kinsoku/>
        <w:wordWrap/>
        <w:overflowPunct/>
        <w:topLinePunct w:val="0"/>
        <w:autoSpaceDE/>
        <w:autoSpaceDN/>
        <w:bidi w:val="0"/>
        <w:adjustRightInd/>
        <w:snapToGrid/>
        <w:spacing w:line="540" w:lineRule="exact"/>
        <w:ind w:left="5760" w:hanging="5760" w:hangingChars="1800"/>
        <w:jc w:val="left"/>
        <w:textAlignment w:val="auto"/>
        <w:rPr>
          <w:rFonts w:hint="default" w:ascii="仿宋_GB2312" w:hAnsi="仿宋_GB2312" w:eastAsia="仿宋_GB2312" w:cs="仿宋_GB2312"/>
          <w:b w:val="0"/>
          <w:bCs w:val="0"/>
          <w:color w:val="000000"/>
          <w:sz w:val="32"/>
          <w:szCs w:val="32"/>
          <w:lang w:val="en-US" w:eastAsia="zh-CN"/>
        </w:rPr>
      </w:pPr>
      <w:r>
        <w:rPr>
          <w:rFonts w:hint="default" w:ascii="仿宋_GB2312" w:hAnsi="仿宋_GB2312" w:eastAsia="仿宋_GB2312" w:cs="仿宋_GB2312"/>
          <w:b w:val="0"/>
          <w:bCs w:val="0"/>
          <w:color w:val="000000"/>
          <w:sz w:val="32"/>
          <w:szCs w:val="32"/>
          <w:lang w:val="en-US" w:eastAsia="zh-CN"/>
        </w:rPr>
        <w:t xml:space="preserve">                            </w:t>
      </w:r>
    </w:p>
    <w:p w14:paraId="7C91A547">
      <w:pPr>
        <w:pStyle w:val="7"/>
        <w:keepNext/>
        <w:keepLines/>
        <w:pageBreakBefore w:val="0"/>
        <w:widowControl w:val="0"/>
        <w:kinsoku/>
        <w:wordWrap/>
        <w:overflowPunct/>
        <w:topLinePunct w:val="0"/>
        <w:autoSpaceDE/>
        <w:autoSpaceDN/>
        <w:bidi w:val="0"/>
        <w:adjustRightInd/>
        <w:snapToGrid/>
        <w:spacing w:before="0" w:after="0" w:line="520" w:lineRule="exact"/>
        <w:jc w:val="left"/>
        <w:textAlignment w:val="auto"/>
        <w:rPr>
          <w:rFonts w:hint="default" w:ascii="仿宋_GB2312" w:hAnsi="仿宋_GB2312" w:eastAsia="仿宋_GB2312" w:cs="仿宋_GB2312"/>
          <w:b w:val="0"/>
          <w:bCs w:val="0"/>
          <w:color w:val="000000"/>
          <w:sz w:val="32"/>
          <w:szCs w:val="32"/>
          <w:lang w:val="en-US" w:eastAsia="zh-CN"/>
        </w:rPr>
      </w:pPr>
    </w:p>
    <w:p w14:paraId="704602FD">
      <w:pPr>
        <w:pStyle w:val="7"/>
        <w:keepNext/>
        <w:keepLines/>
        <w:pageBreakBefore w:val="0"/>
        <w:widowControl w:val="0"/>
        <w:kinsoku/>
        <w:wordWrap/>
        <w:overflowPunct/>
        <w:topLinePunct w:val="0"/>
        <w:autoSpaceDE/>
        <w:autoSpaceDN/>
        <w:bidi w:val="0"/>
        <w:adjustRightInd/>
        <w:snapToGrid/>
        <w:spacing w:before="0" w:after="0" w:line="520" w:lineRule="exact"/>
        <w:ind w:firstLine="960" w:firstLineChars="300"/>
        <w:jc w:val="left"/>
        <w:textAlignment w:val="auto"/>
        <w:rPr>
          <w:rFonts w:hint="default" w:ascii="仿宋_GB2312" w:hAnsi="仿宋_GB2312" w:eastAsia="仿宋_GB2312" w:cs="仿宋_GB2312"/>
          <w:b w:val="0"/>
          <w:bCs w:val="0"/>
          <w:color w:val="000000"/>
          <w:sz w:val="32"/>
          <w:szCs w:val="32"/>
          <w:lang w:val="en-US" w:eastAsia="zh-CN"/>
        </w:rPr>
      </w:pPr>
    </w:p>
    <w:sectPr>
      <w:pgSz w:w="11906" w:h="16838"/>
      <w:pgMar w:top="2098" w:right="1474" w:bottom="2098"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NDI3YmY5ZjZhYjI0YzA4YzI0N2E1MGMzYjc2MmIifQ=="/>
  </w:docVars>
  <w:rsids>
    <w:rsidRoot w:val="00000000"/>
    <w:rsid w:val="01831D5E"/>
    <w:rsid w:val="158A5A42"/>
    <w:rsid w:val="1C7C38F7"/>
    <w:rsid w:val="1F5B1206"/>
    <w:rsid w:val="2434502A"/>
    <w:rsid w:val="26D7469A"/>
    <w:rsid w:val="36BF3346"/>
    <w:rsid w:val="3F6E70C2"/>
    <w:rsid w:val="43F7459E"/>
    <w:rsid w:val="4C79141D"/>
    <w:rsid w:val="4D367C3A"/>
    <w:rsid w:val="5C6F62B2"/>
    <w:rsid w:val="69356DFA"/>
    <w:rsid w:val="70DD3FC2"/>
    <w:rsid w:val="715E4F2E"/>
    <w:rsid w:val="77076A60"/>
    <w:rsid w:val="786345B8"/>
    <w:rsid w:val="7AEF788C"/>
    <w:rsid w:val="7E447259"/>
    <w:rsid w:val="7F236E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cs="宋体" w:asciiTheme="minorHAnsi" w:hAnsiTheme="minorHAnsi" w:eastAsiaTheme="minorEastAsia"/>
      <w:b/>
      <w:kern w:val="2"/>
      <w:sz w:val="8"/>
      <w:szCs w:val="28"/>
      <w:lang w:val="en-US" w:eastAsia="zh-CN" w:bidi="ar-SA"/>
    </w:rPr>
  </w:style>
  <w:style w:type="paragraph" w:styleId="3">
    <w:name w:val="heading 1"/>
    <w:basedOn w:val="1"/>
    <w:next w:val="1"/>
    <w:autoRedefine/>
    <w:qFormat/>
    <w:uiPriority w:val="0"/>
    <w:pPr>
      <w:keepNext/>
      <w:keepLines/>
      <w:spacing w:before="340" w:beforeLines="0" w:beforeAutospacing="0" w:after="330" w:afterLines="0" w:afterAutospacing="0" w:line="576" w:lineRule="auto"/>
      <w:outlineLvl w:val="0"/>
    </w:pPr>
    <w:rPr>
      <w:b w:val="0"/>
      <w:kern w:val="44"/>
      <w:sz w:val="44"/>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99"/>
    <w:pPr>
      <w:jc w:val="left"/>
    </w:pPr>
    <w:rPr>
      <w:rFonts w:ascii="Courier New" w:hAnsi="Courier New" w:cs="Courier New"/>
      <w:sz w:val="20"/>
      <w:szCs w:val="20"/>
    </w:rPr>
  </w:style>
  <w:style w:type="paragraph" w:customStyle="1" w:styleId="6">
    <w:name w:val="样式1"/>
    <w:basedOn w:val="1"/>
    <w:autoRedefine/>
    <w:qFormat/>
    <w:uiPriority w:val="0"/>
    <w:rPr>
      <w:rFonts w:hint="eastAsia" w:asciiTheme="minorAscii" w:hAnsiTheme="minorAscii"/>
      <w:sz w:val="28"/>
    </w:rPr>
  </w:style>
  <w:style w:type="paragraph" w:customStyle="1" w:styleId="7">
    <w:name w:val="样式2"/>
    <w:basedOn w:val="1"/>
    <w:uiPriority w:val="0"/>
    <w:pPr>
      <w:keepNext/>
      <w:keepLines/>
      <w:spacing w:before="340" w:beforeLines="0" w:after="330" w:afterLines="0" w:line="576" w:lineRule="auto"/>
      <w:outlineLvl w:val="0"/>
    </w:pPr>
    <w:rPr>
      <w:rFonts w:hint="eastAsia" w:ascii="宋体" w:hAnsi="宋体" w:eastAsia="宋体"/>
      <w:b w:val="0"/>
      <w:kern w:val="44"/>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1415</Words>
  <Characters>1491</Characters>
  <Lines>0</Lines>
  <Paragraphs>0</Paragraphs>
  <TotalTime>1</TotalTime>
  <ScaleCrop>false</ScaleCrop>
  <LinksUpToDate>false</LinksUpToDate>
  <CharactersWithSpaces>1536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2023-03-19T11:16:00Z</dcterms:created>
  <dc:creator>admin</dc:creator>
  <cp:lastModifiedBy>bl</cp:lastModifiedBy>
  <dcterms:modified xsi:type="dcterms:W3CDTF">2025-07-02T02:18:11Z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843F15F05EAB4E0993481C022C5AB278_12</vt:lpwstr>
  </property>
  <property fmtid="{D5CDD505-2E9C-101B-9397-08002B2CF9AE}" pid="4" name="KSOTemplateDocerSaveRecord">
    <vt:lpwstr>eyJoZGlkIjoiNzBjNGQ2NGEyMzliZTgzMjdiNDZkZWRiMDY5Yzk1ZTMifQ==</vt:lpwstr>
  </property>
</Properties>
</file>