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EBB36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中频治疗仪的技术参数及配置要求</w:t>
      </w:r>
    </w:p>
    <w:tbl>
      <w:tblPr>
        <w:tblStyle w:val="5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68E31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70CC4">
            <w:pPr>
              <w:ind w:firstLine="560" w:firstLineChars="20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BB3D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项参数说明</w:t>
            </w:r>
          </w:p>
        </w:tc>
      </w:tr>
      <w:tr w14:paraId="7EF4E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DDC07">
            <w:pPr>
              <w:ind w:firstLine="140" w:firstLineChars="5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D8C91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中频治疗仪</w:t>
            </w:r>
          </w:p>
        </w:tc>
      </w:tr>
      <w:tr w14:paraId="51E2E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F2729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61599">
            <w:pPr>
              <w:spacing w:line="540" w:lineRule="exact"/>
              <w:ind w:firstLine="560" w:firstLineChars="200"/>
              <w:rPr>
                <w:rFonts w:ascii="宋体" w:hAnsi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中频治疗仪</w:t>
            </w:r>
            <w:r>
              <w:rPr>
                <w:rFonts w:hint="eastAsia" w:ascii="宋体" w:hAnsi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具有镇痛、改善局部血液循环，促进炎症消散，软化瘢痕松解粘连，兴奋神经肌肉组织，产生肌肉收缩的作用，适用</w:t>
            </w:r>
            <w:r>
              <w:rPr>
                <w:rFonts w:ascii="宋体" w:hAnsi="宋体" w:cs="宋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于临床上对颈椎病、肩周炎、腰椎间盘突出症等的康复理疗。</w:t>
            </w:r>
          </w:p>
        </w:tc>
      </w:tr>
      <w:tr w14:paraId="2993D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6CA03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C125622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F4E1549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AF0CA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1.四通道：该机型具有四路中频输出，可治疗四个病人或一个病人的四个部位。</w:t>
            </w:r>
          </w:p>
          <w:p w14:paraId="54B3170C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2.同时具有低频和中频的特点，人体不易产生适应性。</w:t>
            </w:r>
          </w:p>
          <w:p w14:paraId="548697FC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3.具有透热功能。</w:t>
            </w:r>
          </w:p>
          <w:p w14:paraId="1F3E3DE8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4.液晶显示屏。</w:t>
            </w:r>
          </w:p>
          <w:p w14:paraId="0B2BCCDB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5.输出闭锁。</w:t>
            </w:r>
          </w:p>
          <w:p w14:paraId="16E4C19B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6.自动终止提醒及复零功能。</w:t>
            </w:r>
          </w:p>
        </w:tc>
      </w:tr>
      <w:tr w14:paraId="1DE8D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5B226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3BB5488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C3DD42F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59A8478">
            <w:pPr>
              <w:ind w:left="280" w:hanging="280" w:hangingChars="10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28655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1.中频频率：2～10KHz。</w:t>
            </w:r>
          </w:p>
          <w:p w14:paraId="193BED9D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2.输出电流：电疗仪纯交流波形，最大输出电流应不大于100 mA；含直流分量时，输出电流不大于80mA；（负载电阻为500欧姆）输出电流为连续递增/递减调节，每档递增/减量为1mA。</w:t>
            </w:r>
          </w:p>
          <w:p w14:paraId="0A711FD8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3.输出电流稳定度：电疗仪在不同负载下的输出电流变化率应不大于10%。</w:t>
            </w:r>
          </w:p>
          <w:p w14:paraId="351481DE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4.调制波频率范围：0～150Hz。</w:t>
            </w:r>
          </w:p>
          <w:p w14:paraId="1659B92C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5.调制波形：有方波、尖波、三角波、锯齿波、指数波、正弦波、梯形波、扇形波和脉冲波及他们之间的组合，由程序设定。</w:t>
            </w:r>
          </w:p>
          <w:p w14:paraId="7FC89DF9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6.调幅度：电疗仪的调幅度为0%、25%、50%、75%，100%，允差±5%。</w:t>
            </w:r>
          </w:p>
          <w:p w14:paraId="30B3BD9B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7.差频频率范围：四通道电疗仪，其干扰电差频频率应在0～200Hz范围内。</w:t>
            </w:r>
          </w:p>
          <w:p w14:paraId="4279777D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8.噪声：电疗仪工作时，其噪声应不大于60dB。</w:t>
            </w:r>
          </w:p>
          <w:p w14:paraId="23E8DA7A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9.最大透热温度≤60℃。</w:t>
            </w:r>
          </w:p>
          <w:p w14:paraId="1E8B49AA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10.定时装置：电疗仪具有定时装置，允差±5%。</w:t>
            </w:r>
          </w:p>
          <w:p w14:paraId="630B3856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11.连续工作时间：治疗仪连续工作时间应能≥4h。</w:t>
            </w:r>
          </w:p>
          <w:p w14:paraId="169FD4D6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12.电疗仪按防电击类型分类：BF型应用部分。</w:t>
            </w:r>
          </w:p>
          <w:p w14:paraId="1AAC54D3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13.电疗仪的额定电压和频率：AC220V±10%，50Hz。</w:t>
            </w:r>
          </w:p>
          <w:p w14:paraId="3DBE18B2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14.电疗仪的输入功率：160VA。</w:t>
            </w:r>
          </w:p>
          <w:p w14:paraId="7E681270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15.电疗仪没有对除颤放电效应防护的应用部分。</w:t>
            </w:r>
          </w:p>
          <w:p w14:paraId="4EBFB386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16.电疗仪没有信号输入和输出部分。</w:t>
            </w:r>
          </w:p>
          <w:p w14:paraId="5F86874F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17.电疗仪为移动式设备。</w:t>
            </w:r>
          </w:p>
        </w:tc>
      </w:tr>
      <w:tr w14:paraId="7D11C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5E4D7">
            <w:pPr>
              <w:ind w:firstLine="280" w:firstLineChars="10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软、硬件的</w:t>
            </w:r>
          </w:p>
          <w:p w14:paraId="7972BB24">
            <w:pPr>
              <w:ind w:firstLine="420" w:firstLineChars="150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0719F">
            <w:pPr>
              <w:rPr>
                <w:rFonts w:hint="default" w:ascii="宋体" w:hAnsi="宋体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使用年限≥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8年</w:t>
            </w:r>
          </w:p>
        </w:tc>
      </w:tr>
      <w:tr w14:paraId="197F4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7AB41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F3EA7">
            <w:pP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  <w:t>整机质保3年，该设备设计使用耗材的必须为开放的耗材，并提供阳光网点配价格，验收时提供三种以上的耗材使用进行验收。</w:t>
            </w:r>
          </w:p>
        </w:tc>
      </w:tr>
    </w:tbl>
    <w:p w14:paraId="620B69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055442"/>
    <w:rsid w:val="002D67B5"/>
    <w:rsid w:val="006B3F8B"/>
    <w:rsid w:val="00A639C7"/>
    <w:rsid w:val="00BB6D2D"/>
    <w:rsid w:val="00F91E1D"/>
    <w:rsid w:val="2908714C"/>
    <w:rsid w:val="32474A55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7"/>
    <w:unhideWhenUsed/>
    <w:qFormat/>
    <w:uiPriority w:val="1"/>
    <w:rPr>
      <w:rFonts w:hint="eastAsia" w:ascii="等线" w:hAnsi="等线" w:eastAsia="等线"/>
      <w:sz w:val="27"/>
      <w:szCs w:val="24"/>
    </w:rPr>
  </w:style>
  <w:style w:type="paragraph" w:styleId="3">
    <w:name w:val="Body Text First Indent 2"/>
    <w:basedOn w:val="4"/>
    <w:link w:val="9"/>
    <w:qFormat/>
    <w:uiPriority w:val="0"/>
    <w:pPr>
      <w:ind w:firstLine="420" w:firstLineChars="200"/>
    </w:pPr>
  </w:style>
  <w:style w:type="paragraph" w:styleId="4">
    <w:name w:val="Body Text Indent"/>
    <w:basedOn w:val="1"/>
    <w:link w:val="8"/>
    <w:qFormat/>
    <w:uiPriority w:val="0"/>
    <w:pPr>
      <w:spacing w:after="120"/>
      <w:ind w:left="420" w:leftChars="200"/>
    </w:pPr>
  </w:style>
  <w:style w:type="character" w:customStyle="1" w:styleId="7">
    <w:name w:val="正文文本 Char"/>
    <w:basedOn w:val="6"/>
    <w:link w:val="2"/>
    <w:qFormat/>
    <w:uiPriority w:val="1"/>
    <w:rPr>
      <w:rFonts w:ascii="等线" w:hAnsi="等线" w:eastAsia="等线" w:cs="Times New Roman"/>
      <w:kern w:val="2"/>
      <w:sz w:val="27"/>
      <w:szCs w:val="24"/>
    </w:rPr>
  </w:style>
  <w:style w:type="character" w:customStyle="1" w:styleId="8">
    <w:name w:val="正文文本缩进 Char"/>
    <w:basedOn w:val="6"/>
    <w:link w:val="4"/>
    <w:qFormat/>
    <w:uiPriority w:val="0"/>
    <w:rPr>
      <w:rFonts w:ascii="Times New Roman" w:hAnsi="Times New Roman" w:eastAsia="宋体" w:cs="Times New Roman"/>
      <w:kern w:val="2"/>
      <w:sz w:val="15"/>
      <w:szCs w:val="15"/>
    </w:rPr>
  </w:style>
  <w:style w:type="character" w:customStyle="1" w:styleId="9">
    <w:name w:val="正文首行缩进 2 Char"/>
    <w:basedOn w:val="8"/>
    <w:link w:val="3"/>
    <w:qFormat/>
    <w:uiPriority w:val="0"/>
    <w:rPr>
      <w:rFonts w:ascii="Times New Roman" w:hAnsi="Times New Roman" w:eastAsia="宋体" w:cs="Times New Roman"/>
      <w:kern w:val="2"/>
      <w:sz w:val="15"/>
      <w:szCs w:val="1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736</Words>
  <Characters>823</Characters>
  <Lines>1</Lines>
  <Paragraphs>1</Paragraphs>
  <TotalTime>1</TotalTime>
  <ScaleCrop>false</ScaleCrop>
  <LinksUpToDate>false</LinksUpToDate>
  <CharactersWithSpaces>825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2025-06-24T09:40:28Z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eyJoZGlkIjoiNzBjNGQ2NGEyMzliZTgzMjdiNDZkZWRiMDY5Yzk1ZTMifQ==</vt:lpwstr>
  </property>
</Properties>
</file>