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DEC7F">
      <w:pPr>
        <w:jc w:val="center"/>
        <w:rPr>
          <w:rFonts w:hint="eastAsia" w:ascii="宋体" w:hAnsi="宋体"/>
          <w:bCs/>
          <w:sz w:val="28"/>
          <w:szCs w:val="28"/>
        </w:rPr>
      </w:pPr>
      <w:r>
        <w:rPr>
          <w:rFonts w:hint="eastAsia" w:ascii="宋体" w:hAnsi="宋体"/>
          <w:b/>
          <w:sz w:val="28"/>
          <w:szCs w:val="28"/>
        </w:rPr>
        <w:t>申购仪器设备的技术参数及配置要求</w:t>
      </w:r>
    </w:p>
    <w:tbl>
      <w:tblPr>
        <w:tblStyle w:val="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14:paraId="00436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7C18BC6D">
            <w:pPr>
              <w:ind w:firstLine="560" w:firstLineChars="200"/>
              <w:rPr>
                <w:sz w:val="28"/>
                <w:szCs w:val="28"/>
              </w:rPr>
            </w:pPr>
            <w:r>
              <w:rPr>
                <w:rFonts w:hint="eastAsia"/>
                <w:sz w:val="28"/>
                <w:szCs w:val="28"/>
              </w:rPr>
              <w:t>项目名称</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7499BFDE">
            <w:pPr>
              <w:jc w:val="center"/>
              <w:rPr>
                <w:rFonts w:hint="eastAsia"/>
                <w:color w:val="auto"/>
                <w:sz w:val="24"/>
                <w:lang w:val="en-US" w:eastAsia="zh-CN"/>
              </w:rPr>
            </w:pPr>
            <w:r>
              <w:rPr>
                <w:rFonts w:hint="eastAsia"/>
                <w:color w:val="auto"/>
                <w:sz w:val="24"/>
                <w:lang w:val="en-US" w:eastAsia="zh-CN"/>
              </w:rPr>
              <w:t>韦氏智力量表第四版中文版</w:t>
            </w:r>
          </w:p>
          <w:p w14:paraId="451E0EF4">
            <w:pPr>
              <w:jc w:val="center"/>
              <w:rPr>
                <w:rFonts w:hint="eastAsia"/>
                <w:color w:val="auto"/>
                <w:sz w:val="24"/>
                <w:lang w:val="en-US" w:eastAsia="zh-CN"/>
              </w:rPr>
            </w:pPr>
            <w:r>
              <w:rPr>
                <w:rFonts w:hint="eastAsia"/>
                <w:color w:val="auto"/>
                <w:sz w:val="24"/>
                <w:lang w:val="en-US" w:eastAsia="zh-CN"/>
              </w:rPr>
              <w:t>适应行为评定量表第二版中文版</w:t>
            </w:r>
          </w:p>
        </w:tc>
      </w:tr>
      <w:tr w14:paraId="444BB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333E811B">
            <w:pPr>
              <w:ind w:firstLine="120" w:firstLineChars="50"/>
              <w:rPr>
                <w:sz w:val="24"/>
              </w:rPr>
            </w:pPr>
            <w:r>
              <w:rPr>
                <w:rFonts w:hint="eastAsia"/>
                <w:sz w:val="24"/>
              </w:rPr>
              <w:t>申购设备名称</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011673E5">
            <w:pPr>
              <w:jc w:val="center"/>
              <w:rPr>
                <w:rFonts w:hint="eastAsia"/>
                <w:color w:val="auto"/>
                <w:sz w:val="24"/>
                <w:lang w:val="en-US" w:eastAsia="zh-CN"/>
              </w:rPr>
            </w:pPr>
            <w:r>
              <w:rPr>
                <w:rFonts w:hint="eastAsia"/>
                <w:color w:val="auto"/>
                <w:sz w:val="24"/>
                <w:lang w:val="en-US" w:eastAsia="zh-CN"/>
              </w:rPr>
              <w:t>韦氏儿童智力量表第四版中文版</w:t>
            </w:r>
          </w:p>
          <w:p w14:paraId="0F86DDDB">
            <w:pPr>
              <w:jc w:val="center"/>
              <w:rPr>
                <w:rFonts w:hint="eastAsia"/>
                <w:color w:val="auto"/>
                <w:sz w:val="24"/>
                <w:lang w:val="en-US" w:eastAsia="zh-CN"/>
              </w:rPr>
            </w:pPr>
            <w:r>
              <w:rPr>
                <w:rFonts w:hint="eastAsia"/>
                <w:color w:val="auto"/>
                <w:sz w:val="24"/>
                <w:lang w:val="en-US" w:eastAsia="zh-CN"/>
              </w:rPr>
              <w:t>韦氏幼儿智力量表第四版中文版</w:t>
            </w:r>
          </w:p>
          <w:p w14:paraId="45EB88E5">
            <w:pPr>
              <w:jc w:val="center"/>
              <w:rPr>
                <w:rFonts w:hint="eastAsia"/>
                <w:color w:val="auto"/>
                <w:sz w:val="24"/>
                <w:lang w:val="en-US" w:eastAsia="zh-CN"/>
              </w:rPr>
            </w:pPr>
            <w:r>
              <w:rPr>
                <w:rFonts w:hint="eastAsia"/>
                <w:color w:val="auto"/>
                <w:sz w:val="24"/>
                <w:lang w:val="en-US" w:eastAsia="zh-CN"/>
              </w:rPr>
              <w:t>适应行为儿童评定量表第二版中文版</w:t>
            </w:r>
          </w:p>
          <w:p w14:paraId="4BEF8CA3">
            <w:pPr>
              <w:jc w:val="center"/>
              <w:rPr>
                <w:rFonts w:hint="default"/>
                <w:color w:val="auto"/>
                <w:sz w:val="24"/>
                <w:lang w:val="en-US" w:eastAsia="zh-CN"/>
              </w:rPr>
            </w:pPr>
            <w:r>
              <w:rPr>
                <w:rFonts w:hint="eastAsia"/>
                <w:color w:val="auto"/>
                <w:sz w:val="24"/>
                <w:lang w:val="en-US" w:eastAsia="zh-CN"/>
              </w:rPr>
              <w:t>适应行为幼儿评定量表第二版中文版</w:t>
            </w:r>
          </w:p>
        </w:tc>
      </w:tr>
      <w:tr w14:paraId="291DF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0362FD3D">
            <w:pPr>
              <w:rPr>
                <w:sz w:val="24"/>
              </w:rPr>
            </w:pPr>
            <w:r>
              <w:rPr>
                <w:rFonts w:hint="eastAsia"/>
                <w:sz w:val="24"/>
              </w:rPr>
              <w:t>用途及适用人群</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74E6327A">
            <w:pPr>
              <w:ind w:firstLine="480" w:firstLineChars="200"/>
              <w:rPr>
                <w:sz w:val="24"/>
                <w:szCs w:val="24"/>
              </w:rPr>
            </w:pPr>
            <w:r>
              <w:rPr>
                <w:rFonts w:hint="eastAsia" w:ascii="宋体" w:hAnsi="宋体"/>
                <w:sz w:val="24"/>
                <w:szCs w:val="24"/>
              </w:rPr>
              <w:t>广泛应用于识别智力低下儿童、安置特殊儿童以及临床干预和神经心理学评估等方面，是世界上应用最广泛的个人智力、行为量表之一，作为鉴别儿童的发展性障碍、智力落后、学习障碍、多动症、言语障碍、自闭症等的辅助测量工具，还可鉴别儿童是否有神经性损伤、外伤性脑伤等，同时可供如司法领域鉴定事故导致智力损伤程度。</w:t>
            </w:r>
          </w:p>
        </w:tc>
      </w:tr>
      <w:tr w14:paraId="2CA20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1BF3FB34">
            <w:pPr>
              <w:rPr>
                <w:sz w:val="24"/>
              </w:rPr>
            </w:pPr>
          </w:p>
          <w:p w14:paraId="4590D29F">
            <w:pPr>
              <w:rPr>
                <w:sz w:val="24"/>
              </w:rPr>
            </w:pPr>
          </w:p>
          <w:p w14:paraId="61232FCD">
            <w:pPr>
              <w:rPr>
                <w:sz w:val="24"/>
              </w:rPr>
            </w:pPr>
            <w:r>
              <w:rPr>
                <w:rFonts w:hint="eastAsia"/>
                <w:sz w:val="24"/>
              </w:rPr>
              <w:t>设备的功能要求</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59392F6A">
            <w:pPr>
              <w:ind w:firstLine="480" w:firstLineChars="200"/>
              <w:rPr>
                <w:rFonts w:ascii="宋体" w:hAnsi="宋体" w:cs="宋体"/>
                <w:sz w:val="24"/>
                <w:szCs w:val="24"/>
              </w:rPr>
            </w:pPr>
            <w:r>
              <w:rPr>
                <w:rFonts w:hint="eastAsia" w:ascii="宋体" w:hAnsi="宋体" w:cs="宋体"/>
                <w:sz w:val="24"/>
                <w:szCs w:val="24"/>
              </w:rPr>
              <w:t>韦氏智力量表第四版中文版儿童具备了更强大的测量功能，除了提供总智商分数之外，还提供言语理解、知觉推理、工作记忆和加工速度等四个指数对儿童的认知能力做更为全面和详细的解析。体现了当代儿童认知评估理论和实践前沿发展，对工作记忆和加工速度给以更多关注。更加科学的分类使得这一测验的结果能对儿童智力的发展情况做更细致的描述，有助于更精确地做出临床诊断。</w:t>
            </w:r>
          </w:p>
          <w:p w14:paraId="150097B8">
            <w:pPr>
              <w:ind w:firstLine="480" w:firstLineChars="200"/>
              <w:rPr>
                <w:rFonts w:hint="eastAsia" w:ascii="宋体" w:hAnsi="宋体" w:cs="宋体"/>
                <w:sz w:val="24"/>
                <w:szCs w:val="24"/>
              </w:rPr>
            </w:pPr>
            <w:r>
              <w:rPr>
                <w:rFonts w:hint="eastAsia" w:ascii="宋体" w:hAnsi="宋体" w:cs="宋体"/>
                <w:sz w:val="24"/>
                <w:szCs w:val="24"/>
              </w:rPr>
              <w:t>为了适合不同年龄段幼儿的认知发展特点，最新版的韦氏智力量表第四版中文版幼儿版根据幼儿的年龄分为两套测验，一套用于评估2 岁6 个月至3 岁11 个月幼儿（4 岁前幼儿）的认知能力，另一套用于评估4 岁0 个月至6 岁11 个月幼儿的认知能力。2 岁6 个月至3 岁11 个月幼儿主要指数有三个：言语理解指数、视觉空间指数和工作记忆指数。分别反映幼儿对语言信息的接收、理解、准确表达能力，对图案材料的分析组织能力，以及对图案材料的短时记忆。4 岁前幼儿的辅助指数有三个：语言接收指数，非言语指数和一般能力指数；对于 4-6 岁的幼儿，测验结果，包括总智商，五个主要指数和四个辅助指数，共有14 个分测验。</w:t>
            </w:r>
          </w:p>
          <w:p w14:paraId="4620F279">
            <w:pPr>
              <w:ind w:firstLine="480" w:firstLineChars="200"/>
              <w:rPr>
                <w:rFonts w:hint="eastAsia" w:ascii="宋体" w:hAnsi="宋体" w:cs="宋体"/>
                <w:sz w:val="24"/>
                <w:szCs w:val="24"/>
              </w:rPr>
            </w:pPr>
            <w:r>
              <w:rPr>
                <w:rFonts w:hint="eastAsia" w:ascii="宋体" w:hAnsi="宋体" w:cs="宋体"/>
                <w:sz w:val="24"/>
                <w:szCs w:val="24"/>
              </w:rPr>
              <w:t>ABAS-II的的结构基于三个重要理论来源而设计：由美国智能障碍协会 AAMR多年提倡的适应行为概念；适用于特殊教育和残疾分类的法律和专业标准；由美国精神病学会 APA制定的精神疾病诊断与统计手册（DSM-IV）。</w:t>
            </w:r>
          </w:p>
          <w:p w14:paraId="6DBF3B64">
            <w:pPr>
              <w:ind w:firstLine="480" w:firstLineChars="200"/>
              <w:rPr>
                <w:rFonts w:hint="eastAsia" w:ascii="宋体" w:hAnsi="宋体" w:cs="宋体"/>
                <w:sz w:val="24"/>
                <w:szCs w:val="24"/>
              </w:rPr>
            </w:pPr>
            <w:r>
              <w:rPr>
                <w:rFonts w:hint="eastAsia" w:ascii="宋体" w:hAnsi="宋体" w:cs="宋体"/>
                <w:sz w:val="24"/>
                <w:szCs w:val="24"/>
              </w:rPr>
              <w:t xml:space="preserve">ABAS--II的结构与世界卫生组织 WHO对适应行为的定义一致。提供三个层次的结果分数：一个一般适应综综合分数，三个适应领域分数和九个具体适应技能分数 得到美国版权单位的授权，建立了中国最新常模，心理计量学指标达到美国原版标准。 </w:t>
            </w:r>
          </w:p>
          <w:p w14:paraId="2F9F72FD">
            <w:pPr>
              <w:rPr>
                <w:rFonts w:hint="eastAsia" w:ascii="宋体" w:hAnsi="宋体" w:cs="宋体"/>
                <w:sz w:val="24"/>
                <w:szCs w:val="24"/>
              </w:rPr>
            </w:pPr>
            <w:r>
              <w:rPr>
                <w:rFonts w:hint="eastAsia" w:ascii="宋体" w:hAnsi="宋体" w:cs="宋体"/>
                <w:sz w:val="24"/>
                <w:szCs w:val="24"/>
              </w:rPr>
              <w:t xml:space="preserve">有家长评定和教师评定两套量表，分别评定儿童在家庭和学校的表现。 </w:t>
            </w:r>
          </w:p>
          <w:p w14:paraId="59DCC6F0">
            <w:pPr>
              <w:ind w:firstLine="480" w:firstLineChars="200"/>
              <w:rPr>
                <w:rFonts w:hint="eastAsia" w:ascii="宋体" w:hAnsi="宋体"/>
                <w:sz w:val="24"/>
                <w:szCs w:val="24"/>
              </w:rPr>
            </w:pPr>
          </w:p>
        </w:tc>
      </w:tr>
      <w:tr w14:paraId="25A90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7A9FB273">
            <w:pPr>
              <w:rPr>
                <w:sz w:val="24"/>
              </w:rPr>
            </w:pPr>
          </w:p>
          <w:p w14:paraId="221A2615">
            <w:pPr>
              <w:ind w:left="240" w:hanging="240" w:hangingChars="100"/>
              <w:rPr>
                <w:sz w:val="24"/>
              </w:rPr>
            </w:pPr>
            <w:r>
              <w:rPr>
                <w:rFonts w:hint="eastAsia"/>
                <w:sz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089F8FD7">
            <w:pPr>
              <w:widowControl/>
              <w:ind w:left="680"/>
              <w:jc w:val="both"/>
              <w:rPr>
                <w:rFonts w:hint="eastAsia"/>
                <w:color w:val="auto"/>
                <w:sz w:val="24"/>
                <w:lang w:val="en-US" w:eastAsia="zh-CN"/>
              </w:rPr>
            </w:pPr>
            <w:r>
              <w:rPr>
                <w:rFonts w:hint="eastAsia"/>
                <w:color w:val="auto"/>
                <w:sz w:val="24"/>
                <w:lang w:val="en-US" w:eastAsia="zh-CN"/>
              </w:rPr>
              <w:t>韦氏幼儿智力量表第四版中文版：</w:t>
            </w:r>
          </w:p>
          <w:p w14:paraId="7EF59052">
            <w:pPr>
              <w:widowControl/>
              <w:jc w:val="both"/>
              <w:rPr>
                <w:rFonts w:hint="eastAsia" w:ascii="宋体" w:hAnsi="宋体" w:eastAsia="宋体"/>
                <w:sz w:val="24"/>
                <w:szCs w:val="24"/>
              </w:rPr>
            </w:pPr>
            <w:r>
              <w:rPr>
                <w:rFonts w:hint="eastAsia" w:ascii="宋体" w:hAnsi="宋体" w:eastAsia="宋体"/>
                <w:sz w:val="24"/>
                <w:szCs w:val="24"/>
              </w:rPr>
              <w:t>指导手册1本</w:t>
            </w:r>
            <w:r>
              <w:rPr>
                <w:rFonts w:hint="eastAsia" w:ascii="宋体" w:hAnsi="宋体" w:eastAsia="宋体"/>
                <w:sz w:val="24"/>
                <w:szCs w:val="24"/>
                <w:lang w:eastAsia="zh-CN"/>
              </w:rPr>
              <w:t>、</w:t>
            </w:r>
            <w:r>
              <w:rPr>
                <w:rFonts w:hint="eastAsia" w:ascii="宋体" w:hAnsi="宋体" w:eastAsia="宋体"/>
                <w:sz w:val="24"/>
                <w:szCs w:val="24"/>
              </w:rPr>
              <w:t>测试题本</w:t>
            </w:r>
            <w:r>
              <w:rPr>
                <w:rFonts w:ascii="宋体" w:hAnsi="宋体" w:eastAsia="宋体"/>
                <w:sz w:val="24"/>
                <w:szCs w:val="24"/>
              </w:rPr>
              <w:t xml:space="preserve"> 1</w:t>
            </w: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册各1本</w:t>
            </w:r>
            <w:r>
              <w:rPr>
                <w:rFonts w:hint="eastAsia" w:ascii="宋体" w:hAnsi="宋体" w:eastAsia="宋体"/>
                <w:sz w:val="24"/>
                <w:szCs w:val="24"/>
                <w:lang w:eastAsia="zh-CN"/>
              </w:rPr>
              <w:t>、</w:t>
            </w:r>
            <w:r>
              <w:rPr>
                <w:rFonts w:hint="eastAsia" w:ascii="宋体" w:hAnsi="宋体" w:eastAsia="宋体"/>
                <w:sz w:val="24"/>
                <w:szCs w:val="24"/>
              </w:rPr>
              <w:t>记分册（年龄</w:t>
            </w:r>
            <w:r>
              <w:rPr>
                <w:rFonts w:ascii="宋体" w:hAnsi="宋体" w:eastAsia="宋体"/>
                <w:sz w:val="24"/>
                <w:szCs w:val="24"/>
              </w:rPr>
              <w:t xml:space="preserve"> 2:6</w:t>
            </w:r>
            <w:r>
              <w:rPr>
                <w:rFonts w:hint="eastAsia" w:ascii="宋体" w:hAnsi="宋体" w:eastAsia="宋体"/>
                <w:sz w:val="24"/>
                <w:szCs w:val="24"/>
              </w:rPr>
              <w:t>～</w:t>
            </w:r>
            <w:r>
              <w:rPr>
                <w:rFonts w:ascii="宋体" w:hAnsi="宋体" w:eastAsia="宋体"/>
                <w:sz w:val="24"/>
                <w:szCs w:val="24"/>
              </w:rPr>
              <w:t>3:11</w:t>
            </w:r>
            <w:r>
              <w:rPr>
                <w:rFonts w:hint="eastAsia" w:ascii="宋体" w:hAnsi="宋体" w:eastAsia="宋体"/>
                <w:sz w:val="24"/>
                <w:szCs w:val="24"/>
              </w:rPr>
              <w:t>）5本</w:t>
            </w:r>
            <w:r>
              <w:rPr>
                <w:rFonts w:hint="eastAsia" w:ascii="宋体" w:hAnsi="宋体" w:eastAsia="宋体"/>
                <w:sz w:val="24"/>
                <w:szCs w:val="24"/>
                <w:lang w:eastAsia="zh-CN"/>
              </w:rPr>
              <w:t>、</w:t>
            </w:r>
            <w:r>
              <w:rPr>
                <w:rFonts w:hint="eastAsia" w:ascii="宋体" w:hAnsi="宋体" w:eastAsia="宋体"/>
                <w:sz w:val="24"/>
                <w:szCs w:val="24"/>
              </w:rPr>
              <w:t>记分册（年龄</w:t>
            </w:r>
            <w:r>
              <w:rPr>
                <w:rFonts w:ascii="宋体" w:hAnsi="宋体" w:eastAsia="宋体"/>
                <w:sz w:val="24"/>
                <w:szCs w:val="24"/>
              </w:rPr>
              <w:t xml:space="preserve"> 4:0</w:t>
            </w:r>
            <w:r>
              <w:rPr>
                <w:rFonts w:hint="eastAsia" w:ascii="宋体" w:hAnsi="宋体" w:eastAsia="宋体"/>
                <w:sz w:val="24"/>
                <w:szCs w:val="24"/>
              </w:rPr>
              <w:t>～6</w:t>
            </w:r>
            <w:r>
              <w:rPr>
                <w:rFonts w:ascii="宋体" w:hAnsi="宋体" w:eastAsia="宋体"/>
                <w:sz w:val="24"/>
                <w:szCs w:val="24"/>
              </w:rPr>
              <w:t>:</w:t>
            </w:r>
            <w:r>
              <w:rPr>
                <w:rFonts w:hint="eastAsia" w:ascii="宋体" w:hAnsi="宋体" w:eastAsia="宋体"/>
                <w:sz w:val="24"/>
                <w:szCs w:val="24"/>
              </w:rPr>
              <w:t>11）5本</w:t>
            </w:r>
            <w:r>
              <w:rPr>
                <w:rFonts w:hint="eastAsia" w:ascii="宋体" w:hAnsi="宋体" w:eastAsia="宋体"/>
                <w:sz w:val="24"/>
                <w:szCs w:val="24"/>
                <w:lang w:eastAsia="zh-CN"/>
              </w:rPr>
              <w:t>、</w:t>
            </w:r>
            <w:r>
              <w:rPr>
                <w:rFonts w:hint="eastAsia" w:ascii="宋体" w:hAnsi="宋体" w:eastAsia="宋体"/>
                <w:sz w:val="24"/>
                <w:szCs w:val="24"/>
              </w:rPr>
              <w:t>答题册</w:t>
            </w: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3</w:t>
            </w:r>
            <w:r>
              <w:rPr>
                <w:rFonts w:hint="eastAsia" w:ascii="宋体" w:hAnsi="宋体" w:eastAsia="宋体"/>
                <w:sz w:val="24"/>
                <w:szCs w:val="24"/>
              </w:rPr>
              <w:t>各5本</w:t>
            </w:r>
            <w:r>
              <w:rPr>
                <w:rFonts w:hint="eastAsia" w:ascii="宋体" w:hAnsi="宋体" w:eastAsia="宋体"/>
                <w:sz w:val="24"/>
                <w:szCs w:val="24"/>
                <w:lang w:eastAsia="zh-CN"/>
              </w:rPr>
              <w:t>、</w:t>
            </w:r>
            <w:r>
              <w:rPr>
                <w:rFonts w:hint="eastAsia" w:ascii="宋体" w:hAnsi="宋体" w:eastAsia="宋体"/>
                <w:sz w:val="24"/>
                <w:szCs w:val="24"/>
              </w:rPr>
              <w:t>找虫3张</w:t>
            </w:r>
            <w:r>
              <w:rPr>
                <w:rFonts w:hint="eastAsia" w:ascii="宋体" w:hAnsi="宋体" w:eastAsia="宋体"/>
                <w:sz w:val="24"/>
                <w:szCs w:val="24"/>
                <w:lang w:eastAsia="zh-CN"/>
              </w:rPr>
              <w:t>、</w:t>
            </w:r>
            <w:r>
              <w:rPr>
                <w:rFonts w:hint="eastAsia" w:ascii="宋体" w:hAnsi="宋体" w:eastAsia="宋体"/>
                <w:sz w:val="24"/>
                <w:szCs w:val="24"/>
              </w:rPr>
              <w:t>记分键</w:t>
            </w:r>
            <w:r>
              <w:rPr>
                <w:rFonts w:hint="eastAsia" w:ascii="宋体" w:hAnsi="宋体" w:eastAsia="宋体"/>
                <w:sz w:val="24"/>
                <w:szCs w:val="24"/>
                <w:lang w:val="en-US" w:eastAsia="zh-CN"/>
              </w:rPr>
              <w:t>1张</w:t>
            </w:r>
            <w:r>
              <w:rPr>
                <w:rFonts w:hint="eastAsia" w:ascii="宋体" w:hAnsi="宋体" w:eastAsia="宋体"/>
                <w:sz w:val="24"/>
                <w:szCs w:val="24"/>
                <w:lang w:eastAsia="zh-CN"/>
              </w:rPr>
              <w:t>、</w:t>
            </w:r>
            <w:r>
              <w:rPr>
                <w:rFonts w:hint="eastAsia" w:ascii="宋体" w:hAnsi="宋体" w:eastAsia="宋体"/>
                <w:sz w:val="24"/>
                <w:szCs w:val="24"/>
              </w:rPr>
              <w:t>划消</w:t>
            </w:r>
            <w:r>
              <w:rPr>
                <w:rFonts w:hint="eastAsia" w:ascii="宋体" w:hAnsi="宋体" w:eastAsia="宋体"/>
                <w:sz w:val="24"/>
                <w:szCs w:val="24"/>
                <w:lang w:val="en-US" w:eastAsia="zh-CN"/>
              </w:rPr>
              <w:t>1张</w:t>
            </w:r>
            <w:r>
              <w:rPr>
                <w:rFonts w:hint="eastAsia" w:ascii="宋体" w:hAnsi="宋体" w:eastAsia="宋体"/>
                <w:sz w:val="24"/>
                <w:szCs w:val="24"/>
                <w:lang w:eastAsia="zh-CN"/>
              </w:rPr>
              <w:t>、</w:t>
            </w:r>
            <w:r>
              <w:rPr>
                <w:rFonts w:hint="eastAsia" w:ascii="宋体" w:hAnsi="宋体" w:eastAsia="宋体"/>
                <w:sz w:val="24"/>
                <w:szCs w:val="24"/>
              </w:rPr>
              <w:t>记分键</w:t>
            </w:r>
            <w:r>
              <w:rPr>
                <w:rFonts w:hint="eastAsia" w:ascii="宋体" w:hAnsi="宋体" w:eastAsia="宋体"/>
                <w:sz w:val="24"/>
                <w:szCs w:val="24"/>
                <w:lang w:val="en-US" w:eastAsia="zh-CN"/>
              </w:rPr>
              <w:t>1张</w:t>
            </w:r>
            <w:r>
              <w:rPr>
                <w:rFonts w:hint="eastAsia" w:ascii="宋体" w:hAnsi="宋体" w:eastAsia="宋体"/>
                <w:sz w:val="24"/>
                <w:szCs w:val="24"/>
                <w:lang w:eastAsia="zh-CN"/>
              </w:rPr>
              <w:t>、</w:t>
            </w:r>
            <w:r>
              <w:rPr>
                <w:rFonts w:hint="eastAsia" w:ascii="宋体" w:hAnsi="宋体" w:eastAsia="宋体"/>
                <w:sz w:val="24"/>
                <w:szCs w:val="24"/>
              </w:rPr>
              <w:t>动物译码1张</w:t>
            </w:r>
            <w:r>
              <w:rPr>
                <w:rFonts w:hint="eastAsia" w:ascii="宋体" w:hAnsi="宋体" w:eastAsia="宋体"/>
                <w:sz w:val="24"/>
                <w:szCs w:val="24"/>
                <w:lang w:eastAsia="zh-CN"/>
              </w:rPr>
              <w:t>、</w:t>
            </w:r>
            <w:r>
              <w:rPr>
                <w:rFonts w:hint="eastAsia" w:ascii="宋体" w:hAnsi="宋体" w:eastAsia="宋体"/>
                <w:sz w:val="24"/>
                <w:szCs w:val="24"/>
              </w:rPr>
              <w:t>记分键</w:t>
            </w:r>
            <w:r>
              <w:rPr>
                <w:rFonts w:hint="eastAsia" w:ascii="宋体" w:hAnsi="宋体" w:eastAsia="宋体"/>
                <w:sz w:val="24"/>
                <w:szCs w:val="24"/>
                <w:lang w:val="en-US" w:eastAsia="zh-CN"/>
              </w:rPr>
              <w:t>3张</w:t>
            </w:r>
            <w:r>
              <w:rPr>
                <w:rFonts w:hint="eastAsia" w:ascii="宋体" w:hAnsi="宋体" w:eastAsia="宋体"/>
                <w:sz w:val="24"/>
                <w:szCs w:val="24"/>
                <w:lang w:eastAsia="zh-CN"/>
              </w:rPr>
              <w:t>、</w:t>
            </w:r>
            <w:r>
              <w:rPr>
                <w:rFonts w:hint="eastAsia" w:ascii="宋体" w:hAnsi="宋体" w:eastAsia="宋体"/>
                <w:sz w:val="24"/>
                <w:szCs w:val="24"/>
              </w:rPr>
              <w:t>动物家园1盒</w:t>
            </w:r>
            <w:r>
              <w:rPr>
                <w:rFonts w:hint="eastAsia" w:ascii="宋体" w:hAnsi="宋体" w:eastAsia="宋体"/>
                <w:sz w:val="24"/>
                <w:szCs w:val="24"/>
                <w:lang w:eastAsia="zh-CN"/>
              </w:rPr>
              <w:t>、</w:t>
            </w:r>
            <w:r>
              <w:rPr>
                <w:rFonts w:hint="eastAsia" w:ascii="宋体" w:hAnsi="宋体" w:eastAsia="宋体"/>
                <w:sz w:val="24"/>
                <w:szCs w:val="24"/>
              </w:rPr>
              <w:t>草地布局图1盒</w:t>
            </w:r>
            <w:r>
              <w:rPr>
                <w:rFonts w:hint="eastAsia" w:ascii="宋体" w:hAnsi="宋体" w:eastAsia="宋体"/>
                <w:sz w:val="24"/>
                <w:szCs w:val="24"/>
                <w:lang w:eastAsia="zh-CN"/>
              </w:rPr>
              <w:t>、</w:t>
            </w:r>
            <w:r>
              <w:rPr>
                <w:rFonts w:hint="eastAsia" w:ascii="宋体" w:hAnsi="宋体" w:eastAsia="宋体"/>
                <w:sz w:val="24"/>
                <w:szCs w:val="24"/>
              </w:rPr>
              <w:t>动物家园1盒</w:t>
            </w:r>
            <w:r>
              <w:rPr>
                <w:rFonts w:hint="eastAsia" w:ascii="宋体" w:hAnsi="宋体" w:eastAsia="宋体"/>
                <w:sz w:val="24"/>
                <w:szCs w:val="24"/>
                <w:lang w:eastAsia="zh-CN"/>
              </w:rPr>
              <w:t>、</w:t>
            </w:r>
            <w:r>
              <w:rPr>
                <w:rFonts w:hint="eastAsia" w:ascii="宋体" w:hAnsi="宋体" w:eastAsia="宋体"/>
                <w:sz w:val="24"/>
                <w:szCs w:val="24"/>
              </w:rPr>
              <w:t>卡片</w:t>
            </w:r>
            <w:r>
              <w:rPr>
                <w:rFonts w:hint="eastAsia" w:ascii="宋体" w:hAnsi="宋体" w:eastAsia="宋体"/>
                <w:sz w:val="24"/>
                <w:szCs w:val="24"/>
                <w:lang w:val="en-US" w:eastAsia="zh-CN"/>
              </w:rPr>
              <w:t>1盒</w:t>
            </w:r>
            <w:r>
              <w:rPr>
                <w:rFonts w:hint="eastAsia" w:ascii="宋体" w:hAnsi="宋体" w:eastAsia="宋体"/>
                <w:sz w:val="24"/>
                <w:szCs w:val="24"/>
                <w:lang w:eastAsia="zh-CN"/>
              </w:rPr>
              <w:t>、</w:t>
            </w:r>
            <w:r>
              <w:rPr>
                <w:rFonts w:hint="eastAsia" w:ascii="宋体" w:hAnsi="宋体" w:eastAsia="宋体"/>
                <w:sz w:val="24"/>
                <w:szCs w:val="24"/>
              </w:rPr>
              <w:t>拼图</w:t>
            </w:r>
            <w:r>
              <w:rPr>
                <w:rFonts w:hint="eastAsia" w:ascii="宋体" w:hAnsi="宋体" w:eastAsia="宋体"/>
                <w:sz w:val="24"/>
                <w:szCs w:val="24"/>
                <w:lang w:val="en-US" w:eastAsia="zh-CN"/>
              </w:rPr>
              <w:t>1盒</w:t>
            </w:r>
            <w:r>
              <w:rPr>
                <w:rFonts w:hint="eastAsia" w:ascii="宋体" w:hAnsi="宋体" w:eastAsia="宋体"/>
                <w:sz w:val="24"/>
                <w:szCs w:val="24"/>
                <w:lang w:eastAsia="zh-CN"/>
              </w:rPr>
              <w:t>、</w:t>
            </w:r>
            <w:r>
              <w:rPr>
                <w:rFonts w:hint="eastAsia" w:ascii="宋体" w:hAnsi="宋体" w:eastAsia="宋体"/>
                <w:sz w:val="24"/>
                <w:szCs w:val="24"/>
              </w:rPr>
              <w:t>积木</w:t>
            </w:r>
            <w:r>
              <w:rPr>
                <w:rFonts w:hint="eastAsia" w:ascii="宋体" w:hAnsi="宋体" w:eastAsia="宋体"/>
                <w:sz w:val="24"/>
                <w:szCs w:val="24"/>
                <w:lang w:val="en-US" w:eastAsia="zh-CN"/>
              </w:rPr>
              <w:t>1盒</w:t>
            </w:r>
            <w:r>
              <w:rPr>
                <w:rFonts w:hint="eastAsia" w:ascii="宋体" w:hAnsi="宋体" w:eastAsia="宋体"/>
                <w:sz w:val="24"/>
                <w:szCs w:val="24"/>
                <w:lang w:eastAsia="zh-CN"/>
              </w:rPr>
              <w:t>、</w:t>
            </w:r>
            <w:r>
              <w:rPr>
                <w:rFonts w:hint="eastAsia" w:ascii="宋体" w:hAnsi="宋体" w:eastAsia="宋体"/>
                <w:sz w:val="24"/>
                <w:szCs w:val="24"/>
              </w:rPr>
              <w:t>涂鸦笔1支</w:t>
            </w:r>
            <w:r>
              <w:rPr>
                <w:rFonts w:hint="eastAsia" w:ascii="宋体" w:hAnsi="宋体" w:eastAsia="宋体"/>
                <w:sz w:val="24"/>
                <w:szCs w:val="24"/>
                <w:lang w:eastAsia="zh-CN"/>
              </w:rPr>
              <w:t>、</w:t>
            </w:r>
            <w:r>
              <w:rPr>
                <w:rFonts w:hint="eastAsia" w:ascii="宋体" w:hAnsi="宋体" w:eastAsia="宋体"/>
                <w:sz w:val="24"/>
                <w:szCs w:val="24"/>
              </w:rPr>
              <w:t>秒表1个</w:t>
            </w:r>
            <w:r>
              <w:rPr>
                <w:rFonts w:hint="eastAsia" w:ascii="宋体" w:hAnsi="宋体" w:eastAsia="宋体"/>
                <w:sz w:val="24"/>
                <w:szCs w:val="24"/>
                <w:lang w:eastAsia="zh-CN"/>
              </w:rPr>
              <w:t>、</w:t>
            </w:r>
            <w:r>
              <w:rPr>
                <w:rFonts w:hint="eastAsia" w:ascii="宋体" w:hAnsi="宋体" w:eastAsia="宋体"/>
                <w:sz w:val="24"/>
                <w:szCs w:val="24"/>
              </w:rPr>
              <w:t>技术手册光盘</w:t>
            </w:r>
          </w:p>
          <w:p w14:paraId="400FE37C">
            <w:pPr>
              <w:numPr>
                <w:ilvl w:val="0"/>
                <w:numId w:val="0"/>
              </w:numPr>
              <w:ind w:leftChars="0"/>
              <w:jc w:val="both"/>
              <w:rPr>
                <w:rFonts w:hint="eastAsia" w:ascii="宋体" w:hAnsi="宋体"/>
                <w:sz w:val="24"/>
                <w:szCs w:val="24"/>
                <w:lang w:val="en-US" w:eastAsia="zh-CN"/>
              </w:rPr>
            </w:pPr>
            <w:r>
              <w:rPr>
                <w:rFonts w:hint="eastAsia" w:ascii="宋体" w:hAnsi="宋体"/>
                <w:sz w:val="24"/>
                <w:szCs w:val="24"/>
                <w:lang w:val="en-US" w:eastAsia="zh-CN"/>
              </w:rPr>
              <w:t xml:space="preserve">      韦氏儿童智力量表第四版中文版：</w:t>
            </w:r>
          </w:p>
          <w:p w14:paraId="096AAFF0">
            <w:pPr>
              <w:widowControl/>
              <w:jc w:val="both"/>
              <w:rPr>
                <w:rFonts w:hint="eastAsia" w:ascii="宋体" w:hAnsi="宋体" w:eastAsia="宋体"/>
                <w:sz w:val="24"/>
                <w:szCs w:val="24"/>
              </w:rPr>
            </w:pPr>
            <w:r>
              <w:rPr>
                <w:rFonts w:hint="eastAsia" w:ascii="宋体" w:hAnsi="宋体" w:eastAsia="宋体"/>
                <w:sz w:val="24"/>
                <w:szCs w:val="24"/>
              </w:rPr>
              <w:t>指导手册1本</w:t>
            </w:r>
            <w:r>
              <w:rPr>
                <w:rFonts w:hint="eastAsia" w:ascii="宋体" w:hAnsi="宋体" w:eastAsia="宋体"/>
                <w:sz w:val="24"/>
                <w:szCs w:val="24"/>
                <w:lang w:eastAsia="zh-CN"/>
              </w:rPr>
              <w:t>、</w:t>
            </w:r>
            <w:r>
              <w:rPr>
                <w:rFonts w:hint="eastAsia" w:ascii="宋体" w:hAnsi="宋体" w:eastAsia="宋体"/>
                <w:sz w:val="24"/>
                <w:szCs w:val="24"/>
              </w:rPr>
              <w:t>测试题本1本</w:t>
            </w:r>
            <w:r>
              <w:rPr>
                <w:rFonts w:hint="eastAsia" w:ascii="宋体" w:hAnsi="宋体" w:eastAsia="宋体"/>
                <w:sz w:val="24"/>
                <w:szCs w:val="24"/>
                <w:lang w:eastAsia="zh-CN"/>
              </w:rPr>
              <w:t>、</w:t>
            </w:r>
            <w:r>
              <w:rPr>
                <w:rFonts w:hint="eastAsia" w:ascii="宋体" w:hAnsi="宋体" w:eastAsia="宋体"/>
                <w:sz w:val="24"/>
                <w:szCs w:val="24"/>
              </w:rPr>
              <w:t>附加使用手册1本</w:t>
            </w:r>
            <w:r>
              <w:rPr>
                <w:rFonts w:hint="eastAsia" w:ascii="宋体" w:hAnsi="宋体" w:eastAsia="宋体"/>
                <w:sz w:val="24"/>
                <w:szCs w:val="24"/>
                <w:lang w:eastAsia="zh-CN"/>
              </w:rPr>
              <w:t>、</w:t>
            </w:r>
            <w:r>
              <w:rPr>
                <w:rFonts w:hint="eastAsia" w:ascii="宋体" w:hAnsi="宋体" w:eastAsia="宋体"/>
                <w:sz w:val="24"/>
                <w:szCs w:val="24"/>
              </w:rPr>
              <w:t>译码测验记分键2张</w:t>
            </w:r>
            <w:r>
              <w:rPr>
                <w:rFonts w:hint="eastAsia" w:ascii="宋体" w:hAnsi="宋体" w:eastAsia="宋体"/>
                <w:sz w:val="24"/>
                <w:szCs w:val="24"/>
                <w:lang w:eastAsia="zh-CN"/>
              </w:rPr>
              <w:t>、</w:t>
            </w:r>
            <w:r>
              <w:rPr>
                <w:rFonts w:hint="eastAsia" w:ascii="宋体" w:hAnsi="宋体" w:eastAsia="宋体"/>
                <w:sz w:val="24"/>
                <w:szCs w:val="24"/>
              </w:rPr>
              <w:t>符号检索记分键2张</w:t>
            </w:r>
            <w:r>
              <w:rPr>
                <w:rFonts w:hint="eastAsia" w:ascii="宋体" w:hAnsi="宋体" w:eastAsia="宋体"/>
                <w:sz w:val="24"/>
                <w:szCs w:val="24"/>
                <w:lang w:eastAsia="zh-CN"/>
              </w:rPr>
              <w:t>、</w:t>
            </w:r>
            <w:r>
              <w:rPr>
                <w:rFonts w:hint="eastAsia" w:ascii="宋体" w:hAnsi="宋体" w:eastAsia="宋体"/>
                <w:sz w:val="24"/>
                <w:szCs w:val="24"/>
              </w:rPr>
              <w:t>划销记分键1张</w:t>
            </w:r>
            <w:r>
              <w:rPr>
                <w:rFonts w:hint="eastAsia" w:ascii="宋体" w:hAnsi="宋体" w:eastAsia="宋体"/>
                <w:sz w:val="24"/>
                <w:szCs w:val="24"/>
                <w:lang w:eastAsia="zh-CN"/>
              </w:rPr>
              <w:t>、</w:t>
            </w:r>
            <w:r>
              <w:rPr>
                <w:rFonts w:hint="eastAsia" w:ascii="宋体" w:hAnsi="宋体" w:eastAsia="宋体"/>
                <w:sz w:val="24"/>
                <w:szCs w:val="24"/>
              </w:rPr>
              <w:t>记分册3本</w:t>
            </w:r>
            <w:r>
              <w:rPr>
                <w:rFonts w:hint="eastAsia" w:ascii="宋体" w:hAnsi="宋体" w:eastAsia="宋体"/>
                <w:sz w:val="24"/>
                <w:szCs w:val="24"/>
                <w:lang w:eastAsia="zh-CN"/>
              </w:rPr>
              <w:t>、</w:t>
            </w:r>
            <w:r>
              <w:rPr>
                <w:rFonts w:hint="eastAsia" w:ascii="宋体" w:hAnsi="宋体" w:eastAsia="宋体"/>
                <w:sz w:val="24"/>
                <w:szCs w:val="24"/>
              </w:rPr>
              <w:t>答题册一3本</w:t>
            </w:r>
            <w:r>
              <w:rPr>
                <w:rFonts w:hint="eastAsia" w:ascii="宋体" w:hAnsi="宋体" w:eastAsia="宋体"/>
                <w:sz w:val="24"/>
                <w:szCs w:val="24"/>
                <w:lang w:eastAsia="zh-CN"/>
              </w:rPr>
              <w:t>、</w:t>
            </w:r>
            <w:r>
              <w:rPr>
                <w:rFonts w:hint="eastAsia" w:ascii="宋体" w:hAnsi="宋体" w:eastAsia="宋体"/>
                <w:sz w:val="24"/>
                <w:szCs w:val="24"/>
              </w:rPr>
              <w:t>答题册二3本</w:t>
            </w:r>
            <w:r>
              <w:rPr>
                <w:rFonts w:hint="eastAsia" w:ascii="宋体" w:hAnsi="宋体" w:eastAsia="宋体"/>
                <w:sz w:val="24"/>
                <w:szCs w:val="24"/>
                <w:lang w:eastAsia="zh-CN"/>
              </w:rPr>
              <w:t>、</w:t>
            </w:r>
            <w:r>
              <w:rPr>
                <w:rFonts w:hint="eastAsia" w:ascii="宋体" w:hAnsi="宋体" w:eastAsia="宋体"/>
                <w:sz w:val="24"/>
                <w:szCs w:val="24"/>
              </w:rPr>
              <w:t>简版记分册2本</w:t>
            </w:r>
            <w:r>
              <w:rPr>
                <w:rFonts w:hint="eastAsia" w:ascii="宋体" w:hAnsi="宋体" w:eastAsia="宋体"/>
                <w:sz w:val="24"/>
                <w:szCs w:val="24"/>
                <w:lang w:eastAsia="zh-CN"/>
              </w:rPr>
              <w:t>、</w:t>
            </w:r>
            <w:r>
              <w:rPr>
                <w:rFonts w:hint="eastAsia" w:ascii="宋体" w:hAnsi="宋体" w:eastAsia="宋体"/>
                <w:sz w:val="24"/>
                <w:szCs w:val="24"/>
              </w:rPr>
              <w:t>积木1盒</w:t>
            </w:r>
            <w:r>
              <w:rPr>
                <w:rFonts w:hint="eastAsia" w:ascii="宋体" w:hAnsi="宋体" w:eastAsia="宋体"/>
                <w:sz w:val="24"/>
                <w:szCs w:val="24"/>
                <w:lang w:eastAsia="zh-CN"/>
              </w:rPr>
              <w:t>、</w:t>
            </w:r>
            <w:r>
              <w:rPr>
                <w:rFonts w:hint="eastAsia" w:ascii="宋体" w:hAnsi="宋体" w:eastAsia="宋体"/>
                <w:sz w:val="24"/>
                <w:szCs w:val="24"/>
              </w:rPr>
              <w:t>黑色2B铅笔2支</w:t>
            </w:r>
            <w:r>
              <w:rPr>
                <w:rFonts w:hint="eastAsia" w:ascii="宋体" w:hAnsi="宋体" w:eastAsia="宋体"/>
                <w:sz w:val="24"/>
                <w:szCs w:val="24"/>
                <w:lang w:eastAsia="zh-CN"/>
              </w:rPr>
              <w:t>、</w:t>
            </w:r>
            <w:r>
              <w:rPr>
                <w:rFonts w:hint="eastAsia" w:ascii="宋体" w:hAnsi="宋体" w:eastAsia="宋体"/>
                <w:sz w:val="24"/>
                <w:szCs w:val="24"/>
              </w:rPr>
              <w:t>秒表1个</w:t>
            </w:r>
            <w:r>
              <w:rPr>
                <w:rFonts w:hint="eastAsia" w:ascii="宋体" w:hAnsi="宋体" w:eastAsia="宋体"/>
                <w:sz w:val="24"/>
                <w:szCs w:val="24"/>
                <w:lang w:eastAsia="zh-CN"/>
              </w:rPr>
              <w:t>、</w:t>
            </w:r>
            <w:r>
              <w:rPr>
                <w:rFonts w:hint="eastAsia" w:ascii="宋体" w:hAnsi="宋体" w:eastAsia="宋体"/>
                <w:sz w:val="24"/>
                <w:szCs w:val="24"/>
              </w:rPr>
              <w:t>技术手册光盘1张</w:t>
            </w:r>
          </w:p>
          <w:p w14:paraId="02E4C2B6">
            <w:pPr>
              <w:widowControl/>
              <w:ind w:firstLine="480" w:firstLineChars="200"/>
              <w:jc w:val="both"/>
              <w:rPr>
                <w:rFonts w:hint="eastAsia" w:ascii="宋体" w:hAnsi="宋体"/>
                <w:sz w:val="24"/>
                <w:szCs w:val="24"/>
                <w:lang w:val="en-US" w:eastAsia="zh-CN"/>
              </w:rPr>
            </w:pPr>
            <w:r>
              <w:rPr>
                <w:rFonts w:hint="eastAsia" w:ascii="宋体" w:hAnsi="宋体"/>
                <w:sz w:val="24"/>
                <w:szCs w:val="24"/>
                <w:lang w:val="en-US" w:eastAsia="zh-CN"/>
              </w:rPr>
              <w:t>适应行为幼儿评定量表第二版中文版：</w:t>
            </w:r>
          </w:p>
          <w:p w14:paraId="4FC8968F">
            <w:pPr>
              <w:widowControl/>
              <w:jc w:val="both"/>
              <w:rPr>
                <w:rFonts w:hint="eastAsia" w:ascii="宋体" w:hAnsi="宋体"/>
                <w:sz w:val="24"/>
                <w:szCs w:val="24"/>
                <w:lang w:val="en-US" w:eastAsia="zh-CN"/>
              </w:rPr>
            </w:pPr>
            <w:r>
              <w:rPr>
                <w:rFonts w:hint="eastAsia" w:ascii="宋体" w:hAnsi="宋体"/>
                <w:sz w:val="24"/>
                <w:szCs w:val="24"/>
                <w:lang w:val="en-US" w:eastAsia="zh-CN"/>
              </w:rPr>
              <w:t>指导手册1本</w:t>
            </w:r>
          </w:p>
          <w:p w14:paraId="3A87651D">
            <w:pPr>
              <w:widowControl/>
              <w:jc w:val="both"/>
              <w:rPr>
                <w:rFonts w:hint="eastAsia" w:ascii="宋体" w:hAnsi="宋体"/>
                <w:sz w:val="24"/>
                <w:szCs w:val="24"/>
                <w:lang w:val="en-US" w:eastAsia="zh-CN"/>
              </w:rPr>
            </w:pPr>
            <w:r>
              <w:rPr>
                <w:rFonts w:hint="eastAsia" w:ascii="宋体" w:hAnsi="宋体"/>
                <w:sz w:val="24"/>
                <w:szCs w:val="24"/>
                <w:lang w:val="en-US" w:eastAsia="zh-CN"/>
              </w:rPr>
              <w:t>记录本家长填写（0-6岁）10本</w:t>
            </w:r>
          </w:p>
          <w:p w14:paraId="7AC997D6">
            <w:pPr>
              <w:widowControl/>
              <w:jc w:val="both"/>
              <w:rPr>
                <w:rFonts w:hint="eastAsia" w:ascii="宋体" w:hAnsi="宋体"/>
                <w:sz w:val="24"/>
                <w:szCs w:val="24"/>
                <w:lang w:val="en-US" w:eastAsia="zh-CN"/>
              </w:rPr>
            </w:pPr>
            <w:r>
              <w:rPr>
                <w:rFonts w:hint="eastAsia" w:ascii="宋体" w:hAnsi="宋体"/>
                <w:sz w:val="24"/>
                <w:szCs w:val="24"/>
                <w:lang w:val="en-US" w:eastAsia="zh-CN"/>
              </w:rPr>
              <w:t>记录本教师填写（2-6岁）10本</w:t>
            </w:r>
          </w:p>
          <w:p w14:paraId="2441181E">
            <w:pPr>
              <w:widowControl/>
              <w:ind w:firstLine="480" w:firstLineChars="200"/>
              <w:jc w:val="both"/>
              <w:rPr>
                <w:rFonts w:hint="eastAsia" w:ascii="宋体" w:hAnsi="宋体"/>
                <w:sz w:val="24"/>
                <w:szCs w:val="24"/>
                <w:lang w:val="en-US" w:eastAsia="zh-CN"/>
              </w:rPr>
            </w:pPr>
            <w:r>
              <w:rPr>
                <w:rFonts w:hint="eastAsia" w:ascii="宋体" w:hAnsi="宋体"/>
                <w:sz w:val="24"/>
                <w:szCs w:val="24"/>
                <w:lang w:val="en-US" w:eastAsia="zh-CN"/>
              </w:rPr>
              <w:t>适应行为儿童评定量表第二版中文版：</w:t>
            </w:r>
          </w:p>
          <w:p w14:paraId="0CF78623">
            <w:pPr>
              <w:widowControl/>
              <w:jc w:val="both"/>
              <w:rPr>
                <w:rFonts w:hint="eastAsia" w:ascii="宋体" w:hAnsi="宋体"/>
                <w:sz w:val="24"/>
                <w:szCs w:val="24"/>
                <w:lang w:val="en-US" w:eastAsia="zh-CN"/>
              </w:rPr>
            </w:pPr>
            <w:r>
              <w:rPr>
                <w:rFonts w:hint="eastAsia" w:ascii="宋体" w:hAnsi="宋体"/>
                <w:sz w:val="24"/>
                <w:szCs w:val="24"/>
                <w:lang w:val="en-US" w:eastAsia="zh-CN"/>
              </w:rPr>
              <w:t>指导手册1本</w:t>
            </w:r>
          </w:p>
          <w:p w14:paraId="73359DD5">
            <w:pPr>
              <w:widowControl/>
              <w:jc w:val="both"/>
              <w:rPr>
                <w:rFonts w:hint="eastAsia" w:ascii="宋体" w:hAnsi="宋体"/>
                <w:sz w:val="24"/>
                <w:szCs w:val="24"/>
                <w:lang w:val="en-US" w:eastAsia="zh-CN"/>
              </w:rPr>
            </w:pPr>
            <w:r>
              <w:rPr>
                <w:rFonts w:hint="eastAsia" w:ascii="宋体" w:hAnsi="宋体"/>
                <w:sz w:val="24"/>
                <w:szCs w:val="24"/>
                <w:lang w:val="en-US" w:eastAsia="zh-CN"/>
              </w:rPr>
              <w:t>记录本家长填写（6-18岁）10本</w:t>
            </w:r>
          </w:p>
          <w:p w14:paraId="62905B76">
            <w:pPr>
              <w:widowControl/>
              <w:jc w:val="both"/>
              <w:rPr>
                <w:rFonts w:hint="eastAsia" w:ascii="宋体" w:hAnsi="宋体"/>
                <w:sz w:val="24"/>
                <w:szCs w:val="24"/>
                <w:lang w:val="en-US" w:eastAsia="zh-CN"/>
              </w:rPr>
            </w:pPr>
            <w:r>
              <w:rPr>
                <w:rFonts w:hint="eastAsia" w:ascii="宋体" w:hAnsi="宋体"/>
                <w:sz w:val="24"/>
                <w:szCs w:val="24"/>
                <w:lang w:val="en-US" w:eastAsia="zh-CN"/>
              </w:rPr>
              <w:t>记录本教师填写（6-18岁）10本</w:t>
            </w:r>
          </w:p>
          <w:p w14:paraId="42F8E882">
            <w:pPr>
              <w:widowControl/>
              <w:ind w:firstLine="480" w:firstLineChars="200"/>
              <w:jc w:val="both"/>
              <w:rPr>
                <w:rFonts w:hint="eastAsia" w:ascii="宋体" w:hAnsi="宋体"/>
                <w:sz w:val="24"/>
                <w:szCs w:val="24"/>
                <w:lang w:val="en-US" w:eastAsia="zh-CN"/>
              </w:rPr>
            </w:pPr>
            <w:r>
              <w:rPr>
                <w:rFonts w:hint="eastAsia" w:ascii="宋体" w:hAnsi="宋体"/>
                <w:sz w:val="24"/>
                <w:szCs w:val="24"/>
                <w:lang w:val="en-US" w:eastAsia="zh-CN"/>
              </w:rPr>
              <w:t>适应行为儿童评定量表第二版中文版：</w:t>
            </w:r>
          </w:p>
          <w:p w14:paraId="7BF021EC">
            <w:pPr>
              <w:widowControl/>
              <w:jc w:val="both"/>
              <w:rPr>
                <w:rFonts w:hint="eastAsia" w:ascii="宋体" w:hAnsi="宋体"/>
                <w:sz w:val="24"/>
                <w:szCs w:val="24"/>
                <w:lang w:val="en-US" w:eastAsia="zh-CN"/>
              </w:rPr>
            </w:pPr>
            <w:r>
              <w:rPr>
                <w:rFonts w:hint="eastAsia" w:ascii="宋体" w:hAnsi="宋体"/>
                <w:sz w:val="24"/>
                <w:szCs w:val="24"/>
                <w:lang w:val="en-US" w:eastAsia="zh-CN"/>
              </w:rPr>
              <w:t>指导手册1本</w:t>
            </w:r>
          </w:p>
          <w:p w14:paraId="7A4B54D2">
            <w:pPr>
              <w:widowControl/>
              <w:jc w:val="both"/>
              <w:rPr>
                <w:rFonts w:hint="default" w:ascii="宋体" w:hAnsi="宋体"/>
                <w:sz w:val="24"/>
                <w:szCs w:val="24"/>
                <w:lang w:val="en-US" w:eastAsia="zh-CN"/>
              </w:rPr>
            </w:pPr>
            <w:r>
              <w:rPr>
                <w:rFonts w:hint="eastAsia" w:ascii="宋体" w:hAnsi="宋体"/>
                <w:sz w:val="24"/>
                <w:szCs w:val="24"/>
                <w:lang w:val="en-US" w:eastAsia="zh-CN"/>
              </w:rPr>
              <w:t>记录本成人版10本</w:t>
            </w:r>
          </w:p>
        </w:tc>
      </w:tr>
      <w:tr w14:paraId="0DB6F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4C10F61B">
            <w:pPr>
              <w:ind w:firstLine="240" w:firstLineChars="100"/>
              <w:rPr>
                <w:rFonts w:hint="eastAsia"/>
                <w:sz w:val="24"/>
              </w:rPr>
            </w:pPr>
            <w:r>
              <w:rPr>
                <w:rFonts w:hint="eastAsia"/>
                <w:sz w:val="24"/>
              </w:rPr>
              <w:t>软、硬件的</w:t>
            </w:r>
          </w:p>
          <w:p w14:paraId="235B3150">
            <w:pPr>
              <w:ind w:firstLine="360" w:firstLineChars="150"/>
              <w:rPr>
                <w:sz w:val="24"/>
              </w:rPr>
            </w:pPr>
            <w:r>
              <w:rPr>
                <w:rFonts w:hint="eastAsia"/>
                <w:sz w:val="24"/>
              </w:rPr>
              <w:t>配置要求</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7B07CFF4">
            <w:pPr>
              <w:rPr>
                <w:rFonts w:hint="default" w:eastAsia="宋体"/>
                <w:sz w:val="24"/>
                <w:lang w:val="en-US" w:eastAsia="zh-CN"/>
              </w:rPr>
            </w:pPr>
            <w:r>
              <w:rPr>
                <w:rFonts w:hint="eastAsia"/>
                <w:sz w:val="24"/>
              </w:rPr>
              <w:t>主</w:t>
            </w:r>
            <w:r>
              <w:rPr>
                <w:rFonts w:hint="eastAsia" w:ascii="宋体" w:hAnsi="宋体"/>
                <w:sz w:val="24"/>
                <w:szCs w:val="24"/>
              </w:rPr>
              <w:t>设备到院后，需要一个光线充足、安静的房间，房间里没有分心物和干扰源（如办公室或临床治疗间），以便儿童注意力集中在测试活动上。房间家具舒适且大小合适，以便于儿童活动，测试时儿童坐在主试的对面</w:t>
            </w:r>
            <w:r>
              <w:rPr>
                <w:rFonts w:hint="eastAsia" w:ascii="宋体" w:hAnsi="宋体" w:eastAsia="宋体" w:cs="宋体"/>
                <w:sz w:val="24"/>
                <w:szCs w:val="24"/>
              </w:rPr>
              <w:t>；</w:t>
            </w:r>
            <w:r>
              <w:rPr>
                <w:rFonts w:hint="eastAsia" w:ascii="宋体" w:hAnsi="宋体"/>
                <w:sz w:val="24"/>
                <w:szCs w:val="24"/>
              </w:rPr>
              <w:t>科室有一台联接外网的电脑且配打印机</w:t>
            </w:r>
            <w:r>
              <w:rPr>
                <w:rFonts w:hint="eastAsia" w:ascii="宋体" w:hAnsi="宋体" w:eastAsia="宋体" w:cs="宋体"/>
                <w:sz w:val="24"/>
                <w:szCs w:val="24"/>
              </w:rPr>
              <w:t>方可打印报告</w:t>
            </w:r>
            <w:r>
              <w:rPr>
                <w:rFonts w:hint="eastAsia"/>
                <w:sz w:val="24"/>
                <w:lang w:eastAsia="zh-CN"/>
              </w:rPr>
              <w:t>。</w:t>
            </w:r>
          </w:p>
        </w:tc>
      </w:tr>
      <w:tr w14:paraId="4B01A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2160" w:type="dxa"/>
            <w:tcBorders>
              <w:top w:val="single" w:color="auto" w:sz="4" w:space="0"/>
              <w:left w:val="single" w:color="auto" w:sz="4" w:space="0"/>
              <w:bottom w:val="single" w:color="auto" w:sz="4" w:space="0"/>
              <w:right w:val="single" w:color="auto" w:sz="4" w:space="0"/>
            </w:tcBorders>
            <w:noWrap w:val="0"/>
            <w:vAlign w:val="top"/>
          </w:tcPr>
          <w:p w14:paraId="63750556">
            <w:pPr>
              <w:rPr>
                <w:sz w:val="24"/>
              </w:rPr>
            </w:pPr>
            <w:r>
              <w:rPr>
                <w:sz w:val="24"/>
              </w:rPr>
              <w:t xml:space="preserve"> </w:t>
            </w:r>
            <w:r>
              <w:rPr>
                <w:rFonts w:hint="eastAsia"/>
                <w:sz w:val="24"/>
              </w:rPr>
              <w:t>其它要求</w:t>
            </w:r>
          </w:p>
        </w:tc>
        <w:tc>
          <w:tcPr>
            <w:tcW w:w="7020" w:type="dxa"/>
            <w:tcBorders>
              <w:top w:val="single" w:color="auto" w:sz="4" w:space="0"/>
              <w:left w:val="single" w:color="auto" w:sz="4" w:space="0"/>
              <w:bottom w:val="single" w:color="auto" w:sz="4" w:space="0"/>
              <w:right w:val="single" w:color="auto" w:sz="4" w:space="0"/>
            </w:tcBorders>
            <w:noWrap w:val="0"/>
            <w:vAlign w:val="top"/>
          </w:tcPr>
          <w:p w14:paraId="00FC5E4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color w:val="000000" w:themeColor="text1"/>
                <w:kern w:val="2"/>
                <w:sz w:val="28"/>
                <w:szCs w:val="28"/>
                <w:lang w:val="en-US" w:eastAsia="zh-CN" w:bidi="ar-SA"/>
                <w14:textFill>
                  <w14:solidFill>
                    <w14:schemeClr w14:val="tx1"/>
                  </w14:solidFill>
                </w14:textFill>
              </w:rPr>
              <w:t>1.</w:t>
            </w:r>
            <w:r>
              <w:rPr>
                <w:rFonts w:hint="eastAsia"/>
                <w:color w:val="000000" w:themeColor="text1"/>
                <w:sz w:val="28"/>
                <w:szCs w:val="28"/>
                <w:lang w:val="en-US" w:eastAsia="zh-CN"/>
                <w14:textFill>
                  <w14:solidFill>
                    <w14:schemeClr w14:val="tx1"/>
                  </w14:solidFill>
                </w14:textFill>
              </w:rPr>
              <w:t>设备使用</w:t>
            </w:r>
            <w:r>
              <w:rPr>
                <w:rFonts w:hint="eastAsia" w:ascii="Times New Roman" w:hAnsi="Times New Roman" w:cs="Times New Roman"/>
                <w:color w:val="000000" w:themeColor="text1"/>
                <w:sz w:val="28"/>
                <w:szCs w:val="28"/>
                <w:lang w:val="en-US" w:eastAsia="zh-CN"/>
                <w14:textFill>
                  <w14:solidFill>
                    <w14:schemeClr w14:val="tx1"/>
                  </w14:solidFill>
                </w14:textFill>
              </w:rPr>
              <w:t>期限5年以上，设</w:t>
            </w:r>
            <w:r>
              <w:rPr>
                <w:rFonts w:hint="eastAsia"/>
                <w:color w:val="000000" w:themeColor="text1"/>
                <w:sz w:val="28"/>
                <w:szCs w:val="28"/>
                <w:lang w:val="en-US" w:eastAsia="zh-CN"/>
                <w14:textFill>
                  <w14:solidFill>
                    <w14:schemeClr w14:val="tx1"/>
                  </w14:solidFill>
                </w14:textFill>
              </w:rPr>
              <w:t>备的生产日期和合同签订的时间间隔不大于6个月。</w:t>
            </w:r>
          </w:p>
          <w:p w14:paraId="2976E7D3">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Times New Roman" w:hAnsi="Times New Roman" w:eastAsia="宋体" w:cs="Times New Roman"/>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color w:val="000000" w:themeColor="text1"/>
                <w:sz w:val="28"/>
                <w:szCs w:val="28"/>
                <w:lang w:val="en-US" w:eastAsia="zh-CN"/>
                <w14:textFill>
                  <w14:solidFill>
                    <w14:schemeClr w14:val="tx1"/>
                  </w14:solidFill>
                </w14:textFill>
              </w:rPr>
              <w:t>2.</w:t>
            </w:r>
            <w:bookmarkStart w:id="0" w:name="OLE_LINK3"/>
            <w:bookmarkStart w:id="1" w:name="OLE_LINK2"/>
            <w:bookmarkStart w:id="2" w:name="OLE_LINK5"/>
            <w:bookmarkStart w:id="3" w:name="OLE_LINK4"/>
            <w:r>
              <w:rPr>
                <w:rFonts w:hint="eastAsia" w:ascii="Times New Roman" w:hAnsi="Times New Roman" w:eastAsia="宋体" w:cs="Times New Roman"/>
                <w:color w:val="000000" w:themeColor="text1"/>
                <w:sz w:val="28"/>
                <w:szCs w:val="28"/>
                <w:lang w:val="en-US" w:eastAsia="zh-CN"/>
                <w14:textFill>
                  <w14:solidFill>
                    <w14:schemeClr w14:val="tx1"/>
                  </w14:solidFill>
                </w14:textFill>
              </w:rPr>
              <w:t>整机免费质保3年；设备设计使用的耗材必须为开放的耗材，并提供阳光网能点配价格，验收时提供三种以上的耗材使用进行验收。</w:t>
            </w:r>
          </w:p>
          <w:p w14:paraId="3E6A81F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Times New Roman" w:hAnsi="Times New Roman" w:eastAsia="宋体" w:cs="Times New Roman"/>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color w:val="000000" w:themeColor="text1"/>
                <w:sz w:val="28"/>
                <w:szCs w:val="28"/>
                <w:lang w:val="en-US" w:eastAsia="zh-CN"/>
                <w14:textFill>
                  <w14:solidFill>
                    <w14:schemeClr w14:val="tx1"/>
                  </w14:solidFill>
                </w14:textFill>
              </w:rPr>
              <w:t>3.验收同时提供纸质版和电子版产品说明书。</w:t>
            </w:r>
            <w:bookmarkEnd w:id="0"/>
            <w:bookmarkEnd w:id="1"/>
            <w:bookmarkEnd w:id="2"/>
            <w:bookmarkEnd w:id="3"/>
            <w:r>
              <w:rPr>
                <w:rFonts w:hint="eastAsia" w:ascii="Times New Roman" w:hAnsi="Times New Roman" w:eastAsia="宋体" w:cs="Times New Roman"/>
                <w:color w:val="000000" w:themeColor="text1"/>
                <w:sz w:val="28"/>
                <w:szCs w:val="28"/>
                <w:lang w:val="en-US" w:eastAsia="zh-CN"/>
                <w14:textFill>
                  <w14:solidFill>
                    <w14:schemeClr w14:val="tx1"/>
                  </w14:solidFill>
                </w14:textFill>
              </w:rPr>
              <w:t>供货时应同时附上中文使用说明书（包括纸质版和电子版）。</w:t>
            </w:r>
          </w:p>
          <w:p w14:paraId="3E83A1A0">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Times New Roman" w:hAnsi="Times New Roman" w:eastAsia="宋体" w:cs="Times New Roman"/>
                <w:color w:val="000000" w:themeColor="text1"/>
                <w:sz w:val="28"/>
                <w:szCs w:val="28"/>
                <w:lang w:val="en-US" w:eastAsia="zh-CN"/>
                <w14:textFill>
                  <w14:solidFill>
                    <w14:schemeClr w14:val="tx1"/>
                  </w14:solidFill>
                </w14:textFill>
              </w:rPr>
            </w:pPr>
            <w:r>
              <w:rPr>
                <w:rFonts w:hint="eastAsia" w:ascii="Times New Roman" w:hAnsi="Times New Roman" w:eastAsia="宋体" w:cs="Times New Roman"/>
                <w:color w:val="000000" w:themeColor="text1"/>
                <w:sz w:val="28"/>
                <w:szCs w:val="28"/>
                <w:lang w:val="en-US" w:eastAsia="zh-CN"/>
                <w14:textFill>
                  <w14:solidFill>
                    <w14:schemeClr w14:val="tx1"/>
                  </w14:solidFill>
                </w14:textFill>
              </w:rPr>
              <w:t>4.</w:t>
            </w:r>
            <w:bookmarkStart w:id="4" w:name="OLE_LINK6"/>
            <w:bookmarkStart w:id="5" w:name="OLE_LINK7"/>
            <w:r>
              <w:rPr>
                <w:rFonts w:hint="eastAsia" w:ascii="Times New Roman" w:hAnsi="Times New Roman" w:eastAsia="宋体" w:cs="Times New Roman"/>
                <w:color w:val="000000" w:themeColor="text1"/>
                <w:sz w:val="28"/>
                <w:szCs w:val="28"/>
                <w:lang w:val="en-US" w:eastAsia="zh-CN"/>
                <w14:textFill>
                  <w14:solidFill>
                    <w14:schemeClr w14:val="tx1"/>
                  </w14:solidFill>
                </w14:textFill>
              </w:rPr>
              <w:t>为确保设备的售后服务质量，乙方必须提供其厂家免费质保三年的售后服务承诺书，包括设备厂家提供产品的终身免费升级服务。</w:t>
            </w:r>
            <w:bookmarkEnd w:id="4"/>
            <w:bookmarkEnd w:id="5"/>
          </w:p>
          <w:p w14:paraId="2399622B">
            <w:pPr>
              <w:jc w:val="center"/>
              <w:rPr>
                <w:rFonts w:hint="default" w:eastAsia="宋体"/>
                <w:sz w:val="24"/>
                <w:lang w:val="en-US" w:eastAsia="zh-CN"/>
              </w:rPr>
            </w:pPr>
            <w:r>
              <w:rPr>
                <w:rFonts w:hint="eastAsia" w:ascii="Times New Roman" w:hAnsi="Times New Roman" w:eastAsia="宋体" w:cs="Times New Roman"/>
                <w:color w:val="000000" w:themeColor="text1"/>
                <w:sz w:val="28"/>
                <w:szCs w:val="28"/>
                <w:lang w:val="en-US" w:eastAsia="zh-CN"/>
                <w14:textFill>
                  <w14:solidFill>
                    <w14:schemeClr w14:val="tx1"/>
                  </w14:solidFill>
                </w14:textFill>
              </w:rPr>
              <w:t>5.设备数据涉及接入我院HIS网络的，验收时</w:t>
            </w:r>
            <w:bookmarkStart w:id="6" w:name="_GoBack"/>
            <w:bookmarkEnd w:id="6"/>
            <w:r>
              <w:rPr>
                <w:rFonts w:hint="eastAsia" w:ascii="Times New Roman" w:hAnsi="Times New Roman" w:eastAsia="宋体" w:cs="Times New Roman"/>
                <w:color w:val="000000" w:themeColor="text1"/>
                <w:sz w:val="28"/>
                <w:szCs w:val="28"/>
                <w:lang w:val="en-US" w:eastAsia="zh-CN"/>
                <w14:textFill>
                  <w14:solidFill>
                    <w14:schemeClr w14:val="tx1"/>
                  </w14:solidFill>
                </w14:textFill>
              </w:rPr>
              <w:t>按我院要求能查询到HIS网络数据，产生的费用全部由中标方承担。</w:t>
            </w:r>
            <w:r>
              <w:rPr>
                <w:rFonts w:hint="eastAsia"/>
                <w:color w:val="000000" w:themeColor="text1"/>
                <w:sz w:val="24"/>
                <w:lang w:val="en-US" w:eastAsia="zh-CN"/>
                <w14:textFill>
                  <w14:solidFill>
                    <w14:schemeClr w14:val="tx1"/>
                  </w14:solidFill>
                </w14:textFill>
              </w:rPr>
              <w:t>需要医院网络系统，维保年限3年。</w:t>
            </w:r>
          </w:p>
        </w:tc>
      </w:tr>
    </w:tbl>
    <w:p w14:paraId="249800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1M2E3M2MyNTZhMWU2N2M0NWQ2NzJlN2IxMDJmYWUifQ=="/>
  </w:docVars>
  <w:rsids>
    <w:rsidRoot w:val="78887C68"/>
    <w:rsid w:val="00E31C2F"/>
    <w:rsid w:val="223601E8"/>
    <w:rsid w:val="227E5C1C"/>
    <w:rsid w:val="37B762BD"/>
    <w:rsid w:val="3F336F97"/>
    <w:rsid w:val="5F2B5EB4"/>
    <w:rsid w:val="69F0140A"/>
    <w:rsid w:val="78887C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line="360" w:lineRule="auto"/>
      <w:ind w:firstLine="420" w:firstLineChars="175"/>
    </w:pPr>
    <w:rPr>
      <w:sz w:val="24"/>
      <w:szCs w:val="24"/>
    </w:rPr>
  </w:style>
  <w:style w:type="table" w:customStyle="1" w:styleId="5">
    <w:name w:val="Table Normal"/>
    <w:semiHidden/>
    <w:unhideWhenUsed/>
    <w:qFormat/>
    <w:uiPriority w:val="0"/>
    <w:tblPr>
      <w:tblCellMar>
        <w:top w:w="0" w:type="dxa"/>
        <w:left w:w="0" w:type="dxa"/>
        <w:bottom w:w="0" w:type="dxa"/>
        <w:right w:w="0"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1519</Words>
  <Characters>1576</Characters>
  <Lines>0</Lines>
  <Paragraphs>0</Paragraphs>
  <TotalTime>0</TotalTime>
  <ScaleCrop>false</ScaleCrop>
  <LinksUpToDate>false</LinksUpToDate>
  <CharactersWithSpaces>1609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bl</cp:lastModifiedBy>
  <dcterms:modified xsi:type="dcterms:W3CDTF">2025-08-04T08:48:09Z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6668BED0071C438BBCE920AEC2911E36</vt:lpwstr>
  </property>
  <property fmtid="{D5CDD505-2E9C-101B-9397-08002B2CF9AE}" pid="4" name="KSOTemplateDocerSaveRecord">
    <vt:lpwstr>eyJoZGlkIjoiNzBjNGQ2NGEyMzliZTgzMjdiNDZkZWRiMDY5Yzk1ZTMifQ==</vt:lpwstr>
  </property>
</Properties>
</file>